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C95C8" w14:textId="7BC4722C" w:rsidR="00E230DC" w:rsidRDefault="00D06C71" w:rsidP="002A4BA0">
      <w:pPr>
        <w:pStyle w:val="Title"/>
      </w:pPr>
      <w:r>
        <w:t>CCDM p</w:t>
      </w:r>
      <w:r w:rsidR="00782610">
        <w:t xml:space="preserve">artnership </w:t>
      </w:r>
      <w:r w:rsidR="00316B68">
        <w:rPr>
          <w:noProof/>
          <w:lang w:eastAsia="en-NZ"/>
        </w:rPr>
        <w:drawing>
          <wp:anchor distT="0" distB="0" distL="114300" distR="114300" simplePos="0" relativeHeight="251669504" behindDoc="1" locked="0" layoutInCell="1" allowOverlap="1" wp14:anchorId="11B42ED3" wp14:editId="48750189">
            <wp:simplePos x="0" y="0"/>
            <wp:positionH relativeFrom="page">
              <wp:posOffset>255905</wp:posOffset>
            </wp:positionH>
            <wp:positionV relativeFrom="page">
              <wp:posOffset>723900</wp:posOffset>
            </wp:positionV>
            <wp:extent cx="7041600" cy="87120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6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9EC">
        <w:t>evaluation</w:t>
      </w:r>
    </w:p>
    <w:p w14:paraId="30794B4E" w14:textId="1CDF008D" w:rsidR="00986D07" w:rsidRDefault="00887CF5" w:rsidP="009E4940">
      <w:pPr>
        <w:jc w:val="left"/>
      </w:pPr>
      <w:r>
        <w:t>Care Capacity Demand Management (CCDM) is based on a foundation of partnership,</w:t>
      </w:r>
      <w:r w:rsidR="00986D07">
        <w:t xml:space="preserve"> governance</w:t>
      </w:r>
      <w:r w:rsidRPr="00887CF5">
        <w:t xml:space="preserve"> </w:t>
      </w:r>
      <w:r w:rsidR="00945E73">
        <w:t xml:space="preserve">and </w:t>
      </w:r>
      <w:r w:rsidR="00986D07">
        <w:t>patient acuity</w:t>
      </w:r>
      <w:r>
        <w:t xml:space="preserve">. </w:t>
      </w:r>
      <w:r w:rsidR="00986D07">
        <w:t xml:space="preserve">The following partnership </w:t>
      </w:r>
      <w:r w:rsidR="009579EC">
        <w:t>evaluation</w:t>
      </w:r>
      <w:r w:rsidR="00986D07">
        <w:t xml:space="preserve"> is based on the Department of Labour partnership in action (2012). The results will be collated and provided to the group for action, where needed.</w:t>
      </w:r>
    </w:p>
    <w:p w14:paraId="2D9C19CF" w14:textId="54B3C7CC" w:rsidR="00986D07" w:rsidRDefault="00B72398" w:rsidP="00986D07">
      <w:pPr>
        <w:rPr>
          <w:rFonts w:cs="Arial"/>
          <w:sz w:val="20"/>
          <w:szCs w:val="20"/>
        </w:rPr>
      </w:pPr>
      <w:r>
        <w:t xml:space="preserve">Thinking about your group </w:t>
      </w:r>
      <w:r w:rsidR="00986D07">
        <w:t>indicate how much you agree with the following statements</w:t>
      </w:r>
      <w:r>
        <w:t>.</w:t>
      </w:r>
      <w:r w:rsidR="00986D07">
        <w:t xml:space="preserve"> </w:t>
      </w:r>
      <w:r>
        <w:t>Select</w:t>
      </w:r>
      <w:r w:rsidR="00986D07">
        <w:t xml:space="preserve"> (</w:t>
      </w:r>
      <w:r w:rsidR="00986D07">
        <w:sym w:font="Wingdings" w:char="F0FC"/>
      </w:r>
      <w:r w:rsidR="00986D07">
        <w:t>) your response using the scale provided.</w:t>
      </w:r>
    </w:p>
    <w:p w14:paraId="1582BAEE" w14:textId="1E242E48" w:rsidR="002425F1" w:rsidRDefault="002425F1" w:rsidP="00206EC6">
      <w:pPr>
        <w:pStyle w:val="Heading2"/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915"/>
        <w:gridCol w:w="954"/>
        <w:gridCol w:w="1124"/>
        <w:gridCol w:w="954"/>
        <w:gridCol w:w="1124"/>
        <w:gridCol w:w="949"/>
      </w:tblGrid>
      <w:tr w:rsidR="00206EC6" w:rsidRPr="007953D1" w14:paraId="60293057" w14:textId="77777777" w:rsidTr="00206EC6">
        <w:tc>
          <w:tcPr>
            <w:tcW w:w="2170" w:type="pct"/>
          </w:tcPr>
          <w:p w14:paraId="2740BD4F" w14:textId="187D0BFE" w:rsidR="00206EC6" w:rsidRDefault="00206EC6" w:rsidP="002D1027">
            <w:pPr>
              <w:pStyle w:val="Heading2"/>
            </w:pPr>
            <w:r w:rsidRPr="00206EC6">
              <w:t xml:space="preserve">Partnership </w:t>
            </w:r>
          </w:p>
        </w:tc>
        <w:tc>
          <w:tcPr>
            <w:tcW w:w="529" w:type="pct"/>
            <w:hideMark/>
          </w:tcPr>
          <w:p w14:paraId="79AB3AF7" w14:textId="77777777" w:rsidR="00206EC6" w:rsidRPr="007953D1" w:rsidRDefault="00206EC6" w:rsidP="00C23D7F">
            <w:pPr>
              <w:jc w:val="center"/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623" w:type="pct"/>
            <w:hideMark/>
          </w:tcPr>
          <w:p w14:paraId="39020992" w14:textId="77777777" w:rsidR="00206EC6" w:rsidRPr="007953D1" w:rsidRDefault="00206EC6" w:rsidP="00C23D7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Somewhat a</w:t>
            </w:r>
            <w:r w:rsidRPr="007953D1">
              <w:rPr>
                <w:b/>
                <w:bCs/>
              </w:rPr>
              <w:t>gree</w:t>
            </w:r>
          </w:p>
        </w:tc>
        <w:tc>
          <w:tcPr>
            <w:tcW w:w="529" w:type="pct"/>
            <w:hideMark/>
          </w:tcPr>
          <w:p w14:paraId="1E35F8FD" w14:textId="77777777" w:rsidR="00206EC6" w:rsidRPr="007953D1" w:rsidRDefault="00206EC6" w:rsidP="00C23D7F">
            <w:pPr>
              <w:jc w:val="center"/>
              <w:rPr>
                <w:b/>
              </w:rPr>
            </w:pPr>
            <w:r w:rsidRPr="007953D1">
              <w:rPr>
                <w:b/>
              </w:rPr>
              <w:t>Neutral</w:t>
            </w:r>
          </w:p>
        </w:tc>
        <w:tc>
          <w:tcPr>
            <w:tcW w:w="623" w:type="pct"/>
            <w:hideMark/>
          </w:tcPr>
          <w:p w14:paraId="179DB850" w14:textId="77777777" w:rsidR="00206EC6" w:rsidRPr="007953D1" w:rsidRDefault="00206EC6" w:rsidP="00C23D7F">
            <w:pPr>
              <w:jc w:val="center"/>
              <w:rPr>
                <w:b/>
              </w:rPr>
            </w:pPr>
            <w:r>
              <w:rPr>
                <w:b/>
              </w:rPr>
              <w:t>Somewhat d</w:t>
            </w:r>
            <w:r w:rsidRPr="007953D1">
              <w:rPr>
                <w:b/>
              </w:rPr>
              <w:t>isagree</w:t>
            </w:r>
          </w:p>
        </w:tc>
        <w:tc>
          <w:tcPr>
            <w:tcW w:w="526" w:type="pct"/>
            <w:hideMark/>
          </w:tcPr>
          <w:p w14:paraId="18B48398" w14:textId="77777777" w:rsidR="00206EC6" w:rsidRPr="007953D1" w:rsidRDefault="00206EC6" w:rsidP="00C23D7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7953D1">
              <w:rPr>
                <w:b/>
              </w:rPr>
              <w:t>isagree</w:t>
            </w:r>
          </w:p>
        </w:tc>
      </w:tr>
      <w:tr w:rsidR="00206EC6" w:rsidRPr="00645388" w14:paraId="30D2B481" w14:textId="77777777" w:rsidTr="00206EC6">
        <w:trPr>
          <w:trHeight w:val="386"/>
        </w:trPr>
        <w:tc>
          <w:tcPr>
            <w:tcW w:w="2170" w:type="pct"/>
          </w:tcPr>
          <w:p w14:paraId="27305672" w14:textId="09E2F242" w:rsidR="00206EC6" w:rsidRDefault="00206EC6" w:rsidP="00C23D7F">
            <w:pPr>
              <w:jc w:val="left"/>
            </w:pPr>
            <w:r>
              <w:t xml:space="preserve">DHB and health unions have a good working </w:t>
            </w:r>
            <w:r w:rsidRPr="008A2E75">
              <w:t>relationship</w:t>
            </w:r>
            <w:r>
              <w:t>.</w:t>
            </w:r>
          </w:p>
        </w:tc>
        <w:tc>
          <w:tcPr>
            <w:tcW w:w="529" w:type="pct"/>
          </w:tcPr>
          <w:p w14:paraId="047108EB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14:paraId="7F6FC701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</w:tcPr>
          <w:p w14:paraId="7E3274EF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14:paraId="70BCF386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</w:tcPr>
          <w:p w14:paraId="1BD761E1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206EC6" w:rsidRPr="00645388" w14:paraId="5DABBA61" w14:textId="77777777" w:rsidTr="00206EC6">
        <w:tc>
          <w:tcPr>
            <w:tcW w:w="2170" w:type="pct"/>
          </w:tcPr>
          <w:p w14:paraId="1E638272" w14:textId="251B0746" w:rsidR="00206EC6" w:rsidRDefault="00206EC6" w:rsidP="00C23D7F">
            <w:pPr>
              <w:jc w:val="left"/>
            </w:pPr>
            <w:r>
              <w:t>Working in p</w:t>
            </w:r>
            <w:r w:rsidRPr="00EF57F8">
              <w:t xml:space="preserve">artnership </w:t>
            </w:r>
            <w:r>
              <w:t>is evident at all levels throughout the organisation.</w:t>
            </w:r>
          </w:p>
        </w:tc>
        <w:tc>
          <w:tcPr>
            <w:tcW w:w="529" w:type="pct"/>
          </w:tcPr>
          <w:p w14:paraId="6A901120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14:paraId="33EDDDEE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</w:tcPr>
          <w:p w14:paraId="4767BD1E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14:paraId="71CEF093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</w:tcPr>
          <w:p w14:paraId="2AF03EF3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206EC6" w:rsidRPr="00645388" w14:paraId="568B2A04" w14:textId="77777777" w:rsidTr="00206EC6">
        <w:tc>
          <w:tcPr>
            <w:tcW w:w="2170" w:type="pct"/>
          </w:tcPr>
          <w:p w14:paraId="201A0DBB" w14:textId="25475D75" w:rsidR="00206EC6" w:rsidRDefault="00206EC6" w:rsidP="00C23D7F">
            <w:pPr>
              <w:jc w:val="left"/>
            </w:pPr>
            <w:r>
              <w:t xml:space="preserve">The DHB and health union work </w:t>
            </w:r>
            <w:r w:rsidRPr="00EF57F8">
              <w:t xml:space="preserve">together to </w:t>
            </w:r>
            <w:r>
              <w:t xml:space="preserve">successfully </w:t>
            </w:r>
            <w:r w:rsidRPr="00EF57F8">
              <w:t>resolve issues</w:t>
            </w:r>
            <w:r>
              <w:t>.</w:t>
            </w:r>
          </w:p>
        </w:tc>
        <w:tc>
          <w:tcPr>
            <w:tcW w:w="529" w:type="pct"/>
          </w:tcPr>
          <w:p w14:paraId="228D8764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14:paraId="2A8FD39B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</w:tcPr>
          <w:p w14:paraId="6AB5B7B3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14:paraId="5855386D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</w:tcPr>
          <w:p w14:paraId="586284BD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206EC6" w:rsidRPr="007953D1" w14:paraId="756589C5" w14:textId="77777777" w:rsidTr="00206EC6">
        <w:tc>
          <w:tcPr>
            <w:tcW w:w="2170" w:type="pct"/>
          </w:tcPr>
          <w:p w14:paraId="6339D0C7" w14:textId="1041CFF1" w:rsidR="00206EC6" w:rsidRDefault="00206EC6" w:rsidP="002D1027">
            <w:pPr>
              <w:pStyle w:val="Heading2"/>
            </w:pPr>
            <w:r>
              <w:t xml:space="preserve">Leadership </w:t>
            </w:r>
          </w:p>
        </w:tc>
        <w:tc>
          <w:tcPr>
            <w:tcW w:w="529" w:type="pct"/>
            <w:hideMark/>
          </w:tcPr>
          <w:p w14:paraId="3C0B40B4" w14:textId="77777777" w:rsidR="00206EC6" w:rsidRPr="007953D1" w:rsidRDefault="00206EC6" w:rsidP="00C23D7F">
            <w:pPr>
              <w:jc w:val="center"/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623" w:type="pct"/>
            <w:hideMark/>
          </w:tcPr>
          <w:p w14:paraId="16BE0E23" w14:textId="77777777" w:rsidR="00206EC6" w:rsidRPr="007953D1" w:rsidRDefault="00206EC6" w:rsidP="00C23D7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Somewhat a</w:t>
            </w:r>
            <w:r w:rsidRPr="007953D1">
              <w:rPr>
                <w:b/>
                <w:bCs/>
              </w:rPr>
              <w:t>gree</w:t>
            </w:r>
          </w:p>
        </w:tc>
        <w:tc>
          <w:tcPr>
            <w:tcW w:w="529" w:type="pct"/>
            <w:hideMark/>
          </w:tcPr>
          <w:p w14:paraId="143118E7" w14:textId="77777777" w:rsidR="00206EC6" w:rsidRPr="007953D1" w:rsidRDefault="00206EC6" w:rsidP="00C23D7F">
            <w:pPr>
              <w:jc w:val="center"/>
              <w:rPr>
                <w:b/>
              </w:rPr>
            </w:pPr>
            <w:r w:rsidRPr="007953D1">
              <w:rPr>
                <w:b/>
              </w:rPr>
              <w:t>Neutral</w:t>
            </w:r>
          </w:p>
        </w:tc>
        <w:tc>
          <w:tcPr>
            <w:tcW w:w="623" w:type="pct"/>
            <w:hideMark/>
          </w:tcPr>
          <w:p w14:paraId="3A9514A2" w14:textId="77777777" w:rsidR="00206EC6" w:rsidRPr="007953D1" w:rsidRDefault="00206EC6" w:rsidP="00C23D7F">
            <w:pPr>
              <w:jc w:val="center"/>
              <w:rPr>
                <w:b/>
              </w:rPr>
            </w:pPr>
            <w:r>
              <w:rPr>
                <w:b/>
              </w:rPr>
              <w:t>Somewhat d</w:t>
            </w:r>
            <w:r w:rsidRPr="007953D1">
              <w:rPr>
                <w:b/>
              </w:rPr>
              <w:t>isagree</w:t>
            </w:r>
          </w:p>
        </w:tc>
        <w:tc>
          <w:tcPr>
            <w:tcW w:w="526" w:type="pct"/>
            <w:hideMark/>
          </w:tcPr>
          <w:p w14:paraId="044565F8" w14:textId="77777777" w:rsidR="00206EC6" w:rsidRPr="007953D1" w:rsidRDefault="00206EC6" w:rsidP="00C23D7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7953D1">
              <w:rPr>
                <w:b/>
              </w:rPr>
              <w:t>isagree</w:t>
            </w:r>
          </w:p>
        </w:tc>
      </w:tr>
      <w:tr w:rsidR="00206EC6" w:rsidRPr="00645388" w14:paraId="386BA202" w14:textId="77777777" w:rsidTr="00206EC6">
        <w:trPr>
          <w:trHeight w:val="386"/>
        </w:trPr>
        <w:tc>
          <w:tcPr>
            <w:tcW w:w="2170" w:type="pct"/>
          </w:tcPr>
          <w:p w14:paraId="536350FD" w14:textId="497060CE" w:rsidR="00206EC6" w:rsidRDefault="00206EC6" w:rsidP="00206EC6">
            <w:pPr>
              <w:pStyle w:val="Bullet2"/>
              <w:numPr>
                <w:ilvl w:val="0"/>
                <w:numId w:val="0"/>
              </w:numPr>
              <w:jc w:val="left"/>
            </w:pPr>
            <w:r>
              <w:t xml:space="preserve">There is commitment from the DHB and the </w:t>
            </w:r>
            <w:r w:rsidR="00581018">
              <w:t xml:space="preserve">health </w:t>
            </w:r>
            <w:r>
              <w:t>union to implement the CCDM programme into business as usual.</w:t>
            </w:r>
          </w:p>
        </w:tc>
        <w:tc>
          <w:tcPr>
            <w:tcW w:w="529" w:type="pct"/>
          </w:tcPr>
          <w:p w14:paraId="2426CEA8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14:paraId="7FD2C736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</w:tcPr>
          <w:p w14:paraId="54316E0F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14:paraId="075810A4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</w:tcPr>
          <w:p w14:paraId="5883193A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206EC6" w:rsidRPr="00645388" w14:paraId="6AC52443" w14:textId="77777777" w:rsidTr="00206EC6">
        <w:tc>
          <w:tcPr>
            <w:tcW w:w="2170" w:type="pct"/>
          </w:tcPr>
          <w:p w14:paraId="1432FBB3" w14:textId="6115C5CA" w:rsidR="00206EC6" w:rsidRDefault="00206EC6" w:rsidP="00C23D7F">
            <w:pPr>
              <w:jc w:val="left"/>
            </w:pPr>
            <w:r>
              <w:t>There is a DHB and health union culture of staff involvement.</w:t>
            </w:r>
          </w:p>
        </w:tc>
        <w:tc>
          <w:tcPr>
            <w:tcW w:w="529" w:type="pct"/>
          </w:tcPr>
          <w:p w14:paraId="02EEB4C2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14:paraId="1A9928D5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</w:tcPr>
          <w:p w14:paraId="00C02942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14:paraId="66FB8418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</w:tcPr>
          <w:p w14:paraId="5A07729F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206EC6" w:rsidRPr="00645388" w14:paraId="3B230DF3" w14:textId="77777777" w:rsidTr="00206EC6">
        <w:tc>
          <w:tcPr>
            <w:tcW w:w="2170" w:type="pct"/>
          </w:tcPr>
          <w:p w14:paraId="280D0AC3" w14:textId="54CDCAF8" w:rsidR="00206EC6" w:rsidRDefault="00206EC6" w:rsidP="00C23D7F">
            <w:pPr>
              <w:jc w:val="left"/>
            </w:pPr>
            <w:r>
              <w:t>Staff are able to speak up, be heard and have issues resolved.</w:t>
            </w:r>
          </w:p>
        </w:tc>
        <w:tc>
          <w:tcPr>
            <w:tcW w:w="529" w:type="pct"/>
          </w:tcPr>
          <w:p w14:paraId="1762AE63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14:paraId="3FC8D3BF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</w:tcPr>
          <w:p w14:paraId="167020AE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14:paraId="66A261F7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</w:tcPr>
          <w:p w14:paraId="7E9527C1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206EC6" w:rsidRPr="007953D1" w14:paraId="79EBB72B" w14:textId="77777777" w:rsidTr="00206EC6">
        <w:tc>
          <w:tcPr>
            <w:tcW w:w="2170" w:type="pct"/>
          </w:tcPr>
          <w:p w14:paraId="75D2A0F5" w14:textId="47D2FAA9" w:rsidR="00206EC6" w:rsidRDefault="00206EC6" w:rsidP="002D1027">
            <w:pPr>
              <w:pStyle w:val="Heading2"/>
            </w:pPr>
            <w:r>
              <w:t xml:space="preserve">Communication </w:t>
            </w:r>
          </w:p>
        </w:tc>
        <w:tc>
          <w:tcPr>
            <w:tcW w:w="529" w:type="pct"/>
            <w:hideMark/>
          </w:tcPr>
          <w:p w14:paraId="2C75DEED" w14:textId="77777777" w:rsidR="00206EC6" w:rsidRPr="007953D1" w:rsidRDefault="00206EC6" w:rsidP="00C23D7F">
            <w:pPr>
              <w:jc w:val="center"/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623" w:type="pct"/>
            <w:hideMark/>
          </w:tcPr>
          <w:p w14:paraId="40F5F0C1" w14:textId="77777777" w:rsidR="00206EC6" w:rsidRPr="007953D1" w:rsidRDefault="00206EC6" w:rsidP="00C23D7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Somewhat a</w:t>
            </w:r>
            <w:r w:rsidRPr="007953D1">
              <w:rPr>
                <w:b/>
                <w:bCs/>
              </w:rPr>
              <w:t>gree</w:t>
            </w:r>
          </w:p>
        </w:tc>
        <w:tc>
          <w:tcPr>
            <w:tcW w:w="529" w:type="pct"/>
            <w:hideMark/>
          </w:tcPr>
          <w:p w14:paraId="362200F8" w14:textId="77777777" w:rsidR="00206EC6" w:rsidRPr="007953D1" w:rsidRDefault="00206EC6" w:rsidP="00C23D7F">
            <w:pPr>
              <w:jc w:val="center"/>
              <w:rPr>
                <w:b/>
              </w:rPr>
            </w:pPr>
            <w:r w:rsidRPr="007953D1">
              <w:rPr>
                <w:b/>
              </w:rPr>
              <w:t>Neutral</w:t>
            </w:r>
          </w:p>
        </w:tc>
        <w:tc>
          <w:tcPr>
            <w:tcW w:w="623" w:type="pct"/>
            <w:hideMark/>
          </w:tcPr>
          <w:p w14:paraId="518BF04D" w14:textId="77777777" w:rsidR="00206EC6" w:rsidRPr="007953D1" w:rsidRDefault="00206EC6" w:rsidP="00C23D7F">
            <w:pPr>
              <w:jc w:val="center"/>
              <w:rPr>
                <w:b/>
              </w:rPr>
            </w:pPr>
            <w:r>
              <w:rPr>
                <w:b/>
              </w:rPr>
              <w:t>Somewhat d</w:t>
            </w:r>
            <w:r w:rsidRPr="007953D1">
              <w:rPr>
                <w:b/>
              </w:rPr>
              <w:t>isagree</w:t>
            </w:r>
          </w:p>
        </w:tc>
        <w:tc>
          <w:tcPr>
            <w:tcW w:w="526" w:type="pct"/>
            <w:hideMark/>
          </w:tcPr>
          <w:p w14:paraId="008E9B62" w14:textId="77777777" w:rsidR="00206EC6" w:rsidRPr="007953D1" w:rsidRDefault="00206EC6" w:rsidP="00C23D7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7953D1">
              <w:rPr>
                <w:b/>
              </w:rPr>
              <w:t>isagree</w:t>
            </w:r>
          </w:p>
        </w:tc>
      </w:tr>
      <w:tr w:rsidR="00206EC6" w:rsidRPr="00645388" w14:paraId="402E8D4D" w14:textId="77777777" w:rsidTr="00206EC6">
        <w:trPr>
          <w:trHeight w:val="386"/>
        </w:trPr>
        <w:tc>
          <w:tcPr>
            <w:tcW w:w="2170" w:type="pct"/>
          </w:tcPr>
          <w:p w14:paraId="62DEF225" w14:textId="11E295E3" w:rsidR="00206EC6" w:rsidRDefault="000731F3" w:rsidP="0098649E">
            <w:pPr>
              <w:pStyle w:val="Bullet2"/>
              <w:numPr>
                <w:ilvl w:val="0"/>
                <w:numId w:val="0"/>
              </w:numPr>
              <w:jc w:val="left"/>
            </w:pPr>
            <w:r w:rsidRPr="000731F3">
              <w:t>The communication from DHB and health union</w:t>
            </w:r>
            <w:r w:rsidR="003E21D9">
              <w:t>s</w:t>
            </w:r>
            <w:r w:rsidRPr="000731F3">
              <w:t xml:space="preserve"> is consistent.</w:t>
            </w:r>
          </w:p>
        </w:tc>
        <w:tc>
          <w:tcPr>
            <w:tcW w:w="529" w:type="pct"/>
          </w:tcPr>
          <w:p w14:paraId="1DFC4EAF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14:paraId="73634FDC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</w:tcPr>
          <w:p w14:paraId="43FBA548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14:paraId="28008676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</w:tcPr>
          <w:p w14:paraId="37332566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206EC6" w:rsidRPr="00645388" w14:paraId="3DC8F2D9" w14:textId="77777777" w:rsidTr="00206EC6">
        <w:tc>
          <w:tcPr>
            <w:tcW w:w="2170" w:type="pct"/>
          </w:tcPr>
          <w:p w14:paraId="54EF953E" w14:textId="44BC707C" w:rsidR="00206EC6" w:rsidRDefault="00206EC6" w:rsidP="00C23D7F">
            <w:pPr>
              <w:jc w:val="left"/>
            </w:pPr>
            <w:r>
              <w:t>Staff are able to provide feedback on items of interest.</w:t>
            </w:r>
          </w:p>
        </w:tc>
        <w:tc>
          <w:tcPr>
            <w:tcW w:w="529" w:type="pct"/>
          </w:tcPr>
          <w:p w14:paraId="063D564D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14:paraId="7A24753A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</w:tcPr>
          <w:p w14:paraId="63B2272E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14:paraId="44960C51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</w:tcPr>
          <w:p w14:paraId="4B635BE3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206EC6" w:rsidRPr="00645388" w14:paraId="442EB31D" w14:textId="77777777" w:rsidTr="00206EC6">
        <w:tc>
          <w:tcPr>
            <w:tcW w:w="2170" w:type="pct"/>
          </w:tcPr>
          <w:p w14:paraId="61195170" w14:textId="699925F5" w:rsidR="00206EC6" w:rsidRDefault="00206EC6" w:rsidP="00C23D7F">
            <w:pPr>
              <w:jc w:val="left"/>
            </w:pPr>
            <w:r>
              <w:t>Staff feedback is incorporated into new and existing projects.</w:t>
            </w:r>
          </w:p>
        </w:tc>
        <w:tc>
          <w:tcPr>
            <w:tcW w:w="529" w:type="pct"/>
          </w:tcPr>
          <w:p w14:paraId="23561107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14:paraId="37D7FD21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</w:tcPr>
          <w:p w14:paraId="7416AEAE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14:paraId="2538454B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</w:tcPr>
          <w:p w14:paraId="7AC7204A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</w:tbl>
    <w:p w14:paraId="2ADF3AA0" w14:textId="77777777" w:rsidR="00986D07" w:rsidRDefault="00986D07"/>
    <w:p w14:paraId="50D8DAE0" w14:textId="77777777" w:rsidR="00986D07" w:rsidRDefault="00986D07"/>
    <w:p w14:paraId="2A51998B" w14:textId="77777777" w:rsidR="00986D07" w:rsidRDefault="00986D07"/>
    <w:p w14:paraId="177C3EFE" w14:textId="77777777" w:rsidR="00986D07" w:rsidRDefault="00986D07"/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915"/>
        <w:gridCol w:w="954"/>
        <w:gridCol w:w="1124"/>
        <w:gridCol w:w="954"/>
        <w:gridCol w:w="1124"/>
        <w:gridCol w:w="949"/>
      </w:tblGrid>
      <w:tr w:rsidR="00206EC6" w:rsidRPr="007953D1" w14:paraId="0A7A7D0F" w14:textId="77777777" w:rsidTr="00206EC6">
        <w:tc>
          <w:tcPr>
            <w:tcW w:w="2170" w:type="pct"/>
          </w:tcPr>
          <w:p w14:paraId="652E7CAE" w14:textId="45AEB9B2" w:rsidR="00206EC6" w:rsidRDefault="00206EC6" w:rsidP="00206EC6">
            <w:pPr>
              <w:pStyle w:val="Heading2"/>
            </w:pPr>
            <w:r>
              <w:t>Managing change</w:t>
            </w:r>
          </w:p>
        </w:tc>
        <w:tc>
          <w:tcPr>
            <w:tcW w:w="529" w:type="pct"/>
            <w:hideMark/>
          </w:tcPr>
          <w:p w14:paraId="43720AA9" w14:textId="77777777" w:rsidR="00206EC6" w:rsidRPr="007953D1" w:rsidRDefault="00206EC6" w:rsidP="00C23D7F">
            <w:pPr>
              <w:jc w:val="center"/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623" w:type="pct"/>
            <w:hideMark/>
          </w:tcPr>
          <w:p w14:paraId="090FBB02" w14:textId="77777777" w:rsidR="00206EC6" w:rsidRPr="007953D1" w:rsidRDefault="00206EC6" w:rsidP="00C23D7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Somewhat a</w:t>
            </w:r>
            <w:r w:rsidRPr="007953D1">
              <w:rPr>
                <w:b/>
                <w:bCs/>
              </w:rPr>
              <w:t>gree</w:t>
            </w:r>
          </w:p>
        </w:tc>
        <w:tc>
          <w:tcPr>
            <w:tcW w:w="529" w:type="pct"/>
            <w:hideMark/>
          </w:tcPr>
          <w:p w14:paraId="3B85E563" w14:textId="77777777" w:rsidR="00206EC6" w:rsidRPr="007953D1" w:rsidRDefault="00206EC6" w:rsidP="00C23D7F">
            <w:pPr>
              <w:jc w:val="center"/>
              <w:rPr>
                <w:b/>
              </w:rPr>
            </w:pPr>
            <w:r w:rsidRPr="007953D1">
              <w:rPr>
                <w:b/>
              </w:rPr>
              <w:t>Neutral</w:t>
            </w:r>
          </w:p>
        </w:tc>
        <w:tc>
          <w:tcPr>
            <w:tcW w:w="623" w:type="pct"/>
            <w:hideMark/>
          </w:tcPr>
          <w:p w14:paraId="1ABDE082" w14:textId="77777777" w:rsidR="00206EC6" w:rsidRPr="007953D1" w:rsidRDefault="00206EC6" w:rsidP="00C23D7F">
            <w:pPr>
              <w:jc w:val="center"/>
              <w:rPr>
                <w:b/>
              </w:rPr>
            </w:pPr>
            <w:r>
              <w:rPr>
                <w:b/>
              </w:rPr>
              <w:t>Somewhat d</w:t>
            </w:r>
            <w:r w:rsidRPr="007953D1">
              <w:rPr>
                <w:b/>
              </w:rPr>
              <w:t>isagree</w:t>
            </w:r>
          </w:p>
        </w:tc>
        <w:tc>
          <w:tcPr>
            <w:tcW w:w="526" w:type="pct"/>
            <w:hideMark/>
          </w:tcPr>
          <w:p w14:paraId="015A9107" w14:textId="77777777" w:rsidR="00206EC6" w:rsidRPr="007953D1" w:rsidRDefault="00206EC6" w:rsidP="00C23D7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7953D1">
              <w:rPr>
                <w:b/>
              </w:rPr>
              <w:t>isagree</w:t>
            </w:r>
          </w:p>
        </w:tc>
      </w:tr>
      <w:tr w:rsidR="00206EC6" w:rsidRPr="00645388" w14:paraId="758B557F" w14:textId="77777777" w:rsidTr="00206EC6">
        <w:trPr>
          <w:trHeight w:val="386"/>
        </w:trPr>
        <w:tc>
          <w:tcPr>
            <w:tcW w:w="2170" w:type="pct"/>
          </w:tcPr>
          <w:p w14:paraId="181C4ED1" w14:textId="196053F1" w:rsidR="00206EC6" w:rsidRDefault="00206EC6" w:rsidP="00C23D7F">
            <w:pPr>
              <w:pStyle w:val="Bullet2"/>
              <w:numPr>
                <w:ilvl w:val="0"/>
                <w:numId w:val="0"/>
              </w:numPr>
              <w:jc w:val="left"/>
            </w:pPr>
            <w:r>
              <w:t>The DHB and health union work together to achieve and sustain organisational change.</w:t>
            </w:r>
          </w:p>
        </w:tc>
        <w:tc>
          <w:tcPr>
            <w:tcW w:w="529" w:type="pct"/>
          </w:tcPr>
          <w:p w14:paraId="110866E8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14:paraId="0A608C3E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</w:tcPr>
          <w:p w14:paraId="34F0D9F6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14:paraId="16E693BD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</w:tcPr>
          <w:p w14:paraId="26BE81EE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206EC6" w:rsidRPr="00645388" w14:paraId="01FB4411" w14:textId="77777777" w:rsidTr="00206EC6">
        <w:tc>
          <w:tcPr>
            <w:tcW w:w="2170" w:type="pct"/>
          </w:tcPr>
          <w:p w14:paraId="7D5BDD03" w14:textId="31A38627" w:rsidR="00206EC6" w:rsidRDefault="00206EC6" w:rsidP="00C23D7F">
            <w:pPr>
              <w:jc w:val="left"/>
            </w:pPr>
            <w:r>
              <w:t>All levels of staff are involved in organisational change.</w:t>
            </w:r>
          </w:p>
        </w:tc>
        <w:tc>
          <w:tcPr>
            <w:tcW w:w="529" w:type="pct"/>
          </w:tcPr>
          <w:p w14:paraId="483AA5AA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14:paraId="0CF2420D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</w:tcPr>
          <w:p w14:paraId="44DCB7A7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14:paraId="627E4DB8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</w:tcPr>
          <w:p w14:paraId="227873B2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206EC6" w:rsidRPr="00645388" w14:paraId="01E24A76" w14:textId="77777777" w:rsidTr="00206EC6">
        <w:tc>
          <w:tcPr>
            <w:tcW w:w="2170" w:type="pct"/>
          </w:tcPr>
          <w:p w14:paraId="1F6EEFD5" w14:textId="5A255A1D" w:rsidR="00206EC6" w:rsidRDefault="00206EC6" w:rsidP="00206EC6">
            <w:pPr>
              <w:jc w:val="left"/>
            </w:pPr>
            <w:r>
              <w:t>DHB and health unions make joint decisions about organisational change.</w:t>
            </w:r>
          </w:p>
        </w:tc>
        <w:tc>
          <w:tcPr>
            <w:tcW w:w="529" w:type="pct"/>
          </w:tcPr>
          <w:p w14:paraId="7DF385EF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14:paraId="02662494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</w:tcPr>
          <w:p w14:paraId="2395F3E5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14:paraId="4ABA5F86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</w:tcPr>
          <w:p w14:paraId="6AEF8586" w14:textId="77777777" w:rsidR="00206EC6" w:rsidRPr="00645388" w:rsidRDefault="00206EC6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</w:tbl>
    <w:p w14:paraId="4DC1AFF6" w14:textId="77777777" w:rsidR="00206EC6" w:rsidRDefault="00206EC6" w:rsidP="00206EC6"/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915"/>
        <w:gridCol w:w="954"/>
        <w:gridCol w:w="1124"/>
        <w:gridCol w:w="954"/>
        <w:gridCol w:w="1124"/>
        <w:gridCol w:w="949"/>
      </w:tblGrid>
      <w:tr w:rsidR="002D1027" w:rsidRPr="007953D1" w14:paraId="461DDFFF" w14:textId="77777777" w:rsidTr="00C23D7F">
        <w:tc>
          <w:tcPr>
            <w:tcW w:w="2170" w:type="pct"/>
          </w:tcPr>
          <w:p w14:paraId="1F8FBF05" w14:textId="37CFF262" w:rsidR="002D1027" w:rsidRDefault="00581018" w:rsidP="00C23D7F">
            <w:pPr>
              <w:pStyle w:val="Heading2"/>
            </w:pPr>
            <w:r>
              <w:t>Validated p</w:t>
            </w:r>
            <w:r w:rsidR="002D1027">
              <w:t>atient acuity</w:t>
            </w:r>
          </w:p>
        </w:tc>
        <w:tc>
          <w:tcPr>
            <w:tcW w:w="529" w:type="pct"/>
            <w:hideMark/>
          </w:tcPr>
          <w:p w14:paraId="689FED11" w14:textId="77777777" w:rsidR="002D1027" w:rsidRPr="007953D1" w:rsidRDefault="002D1027" w:rsidP="00C23D7F">
            <w:pPr>
              <w:jc w:val="center"/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623" w:type="pct"/>
            <w:hideMark/>
          </w:tcPr>
          <w:p w14:paraId="5A56A59A" w14:textId="77777777" w:rsidR="002D1027" w:rsidRPr="007953D1" w:rsidRDefault="002D1027" w:rsidP="00C23D7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Somewhat a</w:t>
            </w:r>
            <w:r w:rsidRPr="007953D1">
              <w:rPr>
                <w:b/>
                <w:bCs/>
              </w:rPr>
              <w:t>gree</w:t>
            </w:r>
          </w:p>
        </w:tc>
        <w:tc>
          <w:tcPr>
            <w:tcW w:w="529" w:type="pct"/>
            <w:hideMark/>
          </w:tcPr>
          <w:p w14:paraId="491BEB86" w14:textId="77777777" w:rsidR="002D1027" w:rsidRPr="007953D1" w:rsidRDefault="002D1027" w:rsidP="00C23D7F">
            <w:pPr>
              <w:jc w:val="center"/>
              <w:rPr>
                <w:b/>
              </w:rPr>
            </w:pPr>
            <w:r w:rsidRPr="007953D1">
              <w:rPr>
                <w:b/>
              </w:rPr>
              <w:t>Neutral</w:t>
            </w:r>
          </w:p>
        </w:tc>
        <w:tc>
          <w:tcPr>
            <w:tcW w:w="623" w:type="pct"/>
            <w:hideMark/>
          </w:tcPr>
          <w:p w14:paraId="4F2740B5" w14:textId="77777777" w:rsidR="002D1027" w:rsidRPr="007953D1" w:rsidRDefault="002D1027" w:rsidP="00C23D7F">
            <w:pPr>
              <w:jc w:val="center"/>
              <w:rPr>
                <w:b/>
              </w:rPr>
            </w:pPr>
            <w:r>
              <w:rPr>
                <w:b/>
              </w:rPr>
              <w:t>Somewhat d</w:t>
            </w:r>
            <w:r w:rsidRPr="007953D1">
              <w:rPr>
                <w:b/>
              </w:rPr>
              <w:t>isagree</w:t>
            </w:r>
          </w:p>
        </w:tc>
        <w:tc>
          <w:tcPr>
            <w:tcW w:w="526" w:type="pct"/>
            <w:hideMark/>
          </w:tcPr>
          <w:p w14:paraId="2FEA2F1B" w14:textId="77777777" w:rsidR="002D1027" w:rsidRPr="007953D1" w:rsidRDefault="002D1027" w:rsidP="00C23D7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7953D1">
              <w:rPr>
                <w:b/>
              </w:rPr>
              <w:t>isagree</w:t>
            </w:r>
          </w:p>
        </w:tc>
      </w:tr>
      <w:tr w:rsidR="002D1027" w:rsidRPr="00645388" w14:paraId="7DE072B7" w14:textId="77777777" w:rsidTr="00A667C2">
        <w:trPr>
          <w:trHeight w:val="386"/>
        </w:trPr>
        <w:tc>
          <w:tcPr>
            <w:tcW w:w="2170" w:type="pct"/>
          </w:tcPr>
          <w:p w14:paraId="03271487" w14:textId="741FD8D1" w:rsidR="002D1027" w:rsidRDefault="002D1027" w:rsidP="002D1027">
            <w:pPr>
              <w:pStyle w:val="Bullet2"/>
              <w:numPr>
                <w:ilvl w:val="0"/>
                <w:numId w:val="0"/>
              </w:numPr>
              <w:jc w:val="left"/>
            </w:pPr>
            <w:r>
              <w:t>The DHB and health union</w:t>
            </w:r>
            <w:r w:rsidR="00E562CC">
              <w:t>s</w:t>
            </w:r>
            <w:r>
              <w:t xml:space="preserve"> are knowledgeable consumers of TrendCare data.</w:t>
            </w:r>
          </w:p>
        </w:tc>
        <w:tc>
          <w:tcPr>
            <w:tcW w:w="529" w:type="pct"/>
            <w:vAlign w:val="center"/>
          </w:tcPr>
          <w:p w14:paraId="0D4B3F2F" w14:textId="77777777" w:rsidR="002D1027" w:rsidRPr="00645388" w:rsidRDefault="002D1027" w:rsidP="00A667C2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  <w:vAlign w:val="center"/>
          </w:tcPr>
          <w:p w14:paraId="1AC3B423" w14:textId="77777777" w:rsidR="002D1027" w:rsidRPr="00645388" w:rsidRDefault="002D1027" w:rsidP="00A667C2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  <w:vAlign w:val="center"/>
          </w:tcPr>
          <w:p w14:paraId="60E266D0" w14:textId="77777777" w:rsidR="002D1027" w:rsidRPr="00645388" w:rsidRDefault="002D1027" w:rsidP="00A667C2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  <w:vAlign w:val="center"/>
          </w:tcPr>
          <w:p w14:paraId="688F2EC9" w14:textId="77777777" w:rsidR="002D1027" w:rsidRPr="00645388" w:rsidRDefault="002D1027" w:rsidP="00A667C2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  <w:vAlign w:val="center"/>
          </w:tcPr>
          <w:p w14:paraId="5802C8DC" w14:textId="77777777" w:rsidR="002D1027" w:rsidRPr="00645388" w:rsidRDefault="002D1027" w:rsidP="00A667C2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2D1027" w:rsidRPr="00645388" w14:paraId="6DF24285" w14:textId="77777777" w:rsidTr="00C23D7F">
        <w:tc>
          <w:tcPr>
            <w:tcW w:w="2170" w:type="pct"/>
          </w:tcPr>
          <w:p w14:paraId="269DCBAC" w14:textId="6DD42535" w:rsidR="002D1027" w:rsidRDefault="00581018" w:rsidP="00C23D7F">
            <w:pPr>
              <w:jc w:val="left"/>
            </w:pPr>
            <w:r>
              <w:t>TrendCare</w:t>
            </w:r>
            <w:r w:rsidR="00AD7033">
              <w:t xml:space="preserve"> data is accurate.</w:t>
            </w:r>
          </w:p>
        </w:tc>
        <w:tc>
          <w:tcPr>
            <w:tcW w:w="529" w:type="pct"/>
          </w:tcPr>
          <w:p w14:paraId="0E9B3C43" w14:textId="77777777" w:rsidR="002D1027" w:rsidRPr="00645388" w:rsidRDefault="002D1027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14:paraId="74638159" w14:textId="77777777" w:rsidR="002D1027" w:rsidRPr="00645388" w:rsidRDefault="002D1027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</w:tcPr>
          <w:p w14:paraId="28661737" w14:textId="77777777" w:rsidR="002D1027" w:rsidRPr="00645388" w:rsidRDefault="002D1027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14:paraId="6F955166" w14:textId="77777777" w:rsidR="002D1027" w:rsidRPr="00645388" w:rsidRDefault="002D1027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</w:tcPr>
          <w:p w14:paraId="4E60ADA4" w14:textId="77777777" w:rsidR="002D1027" w:rsidRPr="00645388" w:rsidRDefault="002D1027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2D1027" w:rsidRPr="00645388" w14:paraId="412F6D31" w14:textId="77777777" w:rsidTr="00C23D7F">
        <w:tc>
          <w:tcPr>
            <w:tcW w:w="2170" w:type="pct"/>
          </w:tcPr>
          <w:p w14:paraId="01EECF46" w14:textId="04CDD1ED" w:rsidR="002D1027" w:rsidRDefault="00AD7033" w:rsidP="00AD7033">
            <w:pPr>
              <w:jc w:val="left"/>
            </w:pPr>
            <w:r>
              <w:t>Acuity based staffing is used at all levels of the organisation</w:t>
            </w:r>
            <w:r w:rsidR="00E562CC">
              <w:t>.</w:t>
            </w:r>
          </w:p>
        </w:tc>
        <w:tc>
          <w:tcPr>
            <w:tcW w:w="529" w:type="pct"/>
          </w:tcPr>
          <w:p w14:paraId="419253B9" w14:textId="77777777" w:rsidR="002D1027" w:rsidRPr="00645388" w:rsidRDefault="002D1027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14:paraId="25A2A8E4" w14:textId="77777777" w:rsidR="002D1027" w:rsidRPr="00645388" w:rsidRDefault="002D1027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</w:tcPr>
          <w:p w14:paraId="6C3604A6" w14:textId="77777777" w:rsidR="002D1027" w:rsidRPr="00645388" w:rsidRDefault="002D1027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14:paraId="6F5D3BA1" w14:textId="77777777" w:rsidR="002D1027" w:rsidRPr="00645388" w:rsidRDefault="002D1027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</w:tcPr>
          <w:p w14:paraId="66C57BE8" w14:textId="77777777" w:rsidR="002D1027" w:rsidRPr="00645388" w:rsidRDefault="002D1027" w:rsidP="00C23D7F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</w:tbl>
    <w:p w14:paraId="6C29EDAC" w14:textId="77777777" w:rsidR="002D1027" w:rsidRDefault="002D1027" w:rsidP="00206EC6"/>
    <w:p w14:paraId="55787807" w14:textId="26DB7FC7" w:rsidR="00206EC6" w:rsidRPr="00206EC6" w:rsidRDefault="00206EC6" w:rsidP="00206EC6">
      <w:r>
        <w:t>Additional comments?</w:t>
      </w:r>
      <w:bookmarkStart w:id="0" w:name="_GoBack"/>
      <w:bookmarkEnd w:id="0"/>
    </w:p>
    <w:sectPr w:rsidR="00206EC6" w:rsidRPr="00206EC6" w:rsidSect="00AB67D2">
      <w:headerReference w:type="default" r:id="rId8"/>
      <w:footerReference w:type="default" r:id="rId9"/>
      <w:pgSz w:w="11900" w:h="16840"/>
      <w:pgMar w:top="1135" w:right="1440" w:bottom="993" w:left="144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BD918" w14:textId="77777777" w:rsidR="00782610" w:rsidRDefault="00782610" w:rsidP="00D318E2">
      <w:r>
        <w:separator/>
      </w:r>
    </w:p>
  </w:endnote>
  <w:endnote w:type="continuationSeparator" w:id="0">
    <w:p w14:paraId="475E14E9" w14:textId="77777777" w:rsidR="00782610" w:rsidRDefault="00782610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4A1EE" w14:textId="025EBC9E" w:rsidR="004E6ABD" w:rsidRDefault="004C77F9" w:rsidP="004E6ABD">
    <w:pPr>
      <w:pStyle w:val="FooterText"/>
    </w:pPr>
    <w:r>
      <w:rPr>
        <w:noProof/>
        <w:lang w:eastAsia="en-NZ"/>
      </w:rPr>
      <w:drawing>
        <wp:anchor distT="0" distB="0" distL="114300" distR="114300" simplePos="0" relativeHeight="251662336" behindDoc="1" locked="0" layoutInCell="1" allowOverlap="1" wp14:anchorId="3F2C1851" wp14:editId="19ADB38B">
          <wp:simplePos x="0" y="0"/>
          <wp:positionH relativeFrom="page">
            <wp:posOffset>255905</wp:posOffset>
          </wp:positionH>
          <wp:positionV relativeFrom="page">
            <wp:posOffset>9998913</wp:posOffset>
          </wp:positionV>
          <wp:extent cx="7127875" cy="3594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FILENAME \* MERGEFORMAT ">
      <w:r w:rsidR="001E7957">
        <w:rPr>
          <w:noProof/>
        </w:rPr>
        <w:t>4.8 CCDM partnership evaluation_18Apr2018</w:t>
      </w:r>
    </w:fldSimple>
    <w:r w:rsidR="004E6ABD">
      <w:tab/>
    </w:r>
    <w:sdt>
      <w:sdtPr>
        <w:id w:val="146268275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81AC6">
              <w:tab/>
            </w:r>
            <w:r w:rsidR="00081AC6">
              <w:tab/>
            </w:r>
            <w:r w:rsidR="00081AC6">
              <w:tab/>
            </w:r>
            <w:r w:rsidR="00081AC6">
              <w:tab/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1E7957">
              <w:rPr>
                <w:bCs/>
                <w:noProof/>
              </w:rPr>
              <w:t>2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1E7957">
              <w:rPr>
                <w:bCs/>
                <w:noProof/>
              </w:rPr>
              <w:t>2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E050C77" w14:textId="77777777" w:rsidR="004E6ABD" w:rsidRPr="004C77F9" w:rsidRDefault="004C77F9" w:rsidP="004C77F9">
    <w:pPr>
      <w:pStyle w:val="Footer"/>
      <w:spacing w:before="120"/>
      <w:rPr>
        <w:sz w:val="18"/>
      </w:rPr>
    </w:pPr>
    <w:r w:rsidRPr="004C77F9">
      <w:rPr>
        <w:sz w:val="18"/>
      </w:rPr>
      <w:t>© Ministry of Health, NZ</w:t>
    </w:r>
    <w:r w:rsidR="004F3689">
      <w:rPr>
        <w:sz w:val="18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895E0" w14:textId="77777777" w:rsidR="00782610" w:rsidRDefault="00782610" w:rsidP="00D318E2">
      <w:r>
        <w:separator/>
      </w:r>
    </w:p>
  </w:footnote>
  <w:footnote w:type="continuationSeparator" w:id="0">
    <w:p w14:paraId="03B39B08" w14:textId="77777777" w:rsidR="00782610" w:rsidRDefault="00782610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CE716" w14:textId="77777777" w:rsidR="004E6ABD" w:rsidRPr="004E6ABD" w:rsidRDefault="004C77F9" w:rsidP="004E6ABD">
    <w:pPr>
      <w:pStyle w:val="HeaderText"/>
    </w:pPr>
    <w:r>
      <w:t>CCDM Programme</w:t>
    </w:r>
    <w:r w:rsidR="002C6766">
      <w:tab/>
    </w:r>
    <w:r w:rsidR="002C6766">
      <w:tab/>
    </w:r>
    <w:r w:rsidR="002C6766">
      <w:tab/>
    </w:r>
    <w:r w:rsidR="002C6766">
      <w:tab/>
    </w:r>
    <w:r w:rsidR="002C6766">
      <w:tab/>
    </w:r>
    <w:r w:rsidR="00243C09">
      <w:tab/>
    </w:r>
    <w:r w:rsidR="00297F4A">
      <w:tab/>
    </w:r>
    <w:r w:rsidR="00297F4A">
      <w:tab/>
    </w:r>
    <w:r w:rsidR="002C6766">
      <w:t xml:space="preserve">CCDM </w:t>
    </w:r>
    <w:r w:rsidR="00014576">
      <w:t>governance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4DCC"/>
    <w:multiLevelType w:val="hybridMultilevel"/>
    <w:tmpl w:val="CCF8F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72C9"/>
    <w:multiLevelType w:val="hybridMultilevel"/>
    <w:tmpl w:val="B82A91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D0152"/>
    <w:multiLevelType w:val="hybridMultilevel"/>
    <w:tmpl w:val="840081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838E7"/>
    <w:multiLevelType w:val="hybridMultilevel"/>
    <w:tmpl w:val="8226706A"/>
    <w:lvl w:ilvl="0" w:tplc="04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228D2759"/>
    <w:multiLevelType w:val="hybridMultilevel"/>
    <w:tmpl w:val="7E2A7F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7D4925"/>
    <w:multiLevelType w:val="hybridMultilevel"/>
    <w:tmpl w:val="4F46A13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B1652"/>
    <w:multiLevelType w:val="hybridMultilevel"/>
    <w:tmpl w:val="D9F88B7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F1985"/>
    <w:multiLevelType w:val="hybridMultilevel"/>
    <w:tmpl w:val="639E1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66451"/>
    <w:multiLevelType w:val="hybridMultilevel"/>
    <w:tmpl w:val="65B06D5C"/>
    <w:lvl w:ilvl="0" w:tplc="C6CC117E">
      <w:start w:val="1"/>
      <w:numFmt w:val="bullet"/>
      <w:pStyle w:val="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2F4308"/>
    <w:multiLevelType w:val="hybridMultilevel"/>
    <w:tmpl w:val="59240D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E56DB"/>
    <w:multiLevelType w:val="hybridMultilevel"/>
    <w:tmpl w:val="EBA0E6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B4722"/>
    <w:multiLevelType w:val="hybridMultilevel"/>
    <w:tmpl w:val="482061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D401B"/>
    <w:multiLevelType w:val="hybridMultilevel"/>
    <w:tmpl w:val="3F006560"/>
    <w:lvl w:ilvl="0" w:tplc="BEB841B2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1313218"/>
    <w:multiLevelType w:val="hybridMultilevel"/>
    <w:tmpl w:val="F77CFEC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959B9"/>
    <w:multiLevelType w:val="hybridMultilevel"/>
    <w:tmpl w:val="0508445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2"/>
  </w:num>
  <w:num w:numId="4">
    <w:abstractNumId w:val="11"/>
  </w:num>
  <w:num w:numId="5">
    <w:abstractNumId w:val="8"/>
  </w:num>
  <w:num w:numId="6">
    <w:abstractNumId w:val="14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15"/>
  </w:num>
  <w:num w:numId="12">
    <w:abstractNumId w:val="16"/>
  </w:num>
  <w:num w:numId="13">
    <w:abstractNumId w:val="10"/>
  </w:num>
  <w:num w:numId="14">
    <w:abstractNumId w:val="5"/>
  </w:num>
  <w:num w:numId="15">
    <w:abstractNumId w:val="9"/>
  </w:num>
  <w:num w:numId="16">
    <w:abstractNumId w:val="13"/>
  </w:num>
  <w:num w:numId="17">
    <w:abstractNumId w:val="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10"/>
    <w:rsid w:val="00014576"/>
    <w:rsid w:val="000731F3"/>
    <w:rsid w:val="00081AC6"/>
    <w:rsid w:val="000E488C"/>
    <w:rsid w:val="001335A2"/>
    <w:rsid w:val="0016411A"/>
    <w:rsid w:val="001E7957"/>
    <w:rsid w:val="00206EC6"/>
    <w:rsid w:val="002425F1"/>
    <w:rsid w:val="00243C09"/>
    <w:rsid w:val="002526D7"/>
    <w:rsid w:val="00297F4A"/>
    <w:rsid w:val="002A4BA0"/>
    <w:rsid w:val="002C6766"/>
    <w:rsid w:val="002D1027"/>
    <w:rsid w:val="003166F2"/>
    <w:rsid w:val="00316B68"/>
    <w:rsid w:val="003830FB"/>
    <w:rsid w:val="003B2EE7"/>
    <w:rsid w:val="003E21D9"/>
    <w:rsid w:val="00423B6F"/>
    <w:rsid w:val="00425A4D"/>
    <w:rsid w:val="00444D84"/>
    <w:rsid w:val="004C77F9"/>
    <w:rsid w:val="004E6ABD"/>
    <w:rsid w:val="004F3689"/>
    <w:rsid w:val="00501245"/>
    <w:rsid w:val="00521536"/>
    <w:rsid w:val="00521E87"/>
    <w:rsid w:val="00554632"/>
    <w:rsid w:val="00573959"/>
    <w:rsid w:val="00581018"/>
    <w:rsid w:val="005824D3"/>
    <w:rsid w:val="005B7D5B"/>
    <w:rsid w:val="0066710B"/>
    <w:rsid w:val="00727F68"/>
    <w:rsid w:val="00782610"/>
    <w:rsid w:val="007D4966"/>
    <w:rsid w:val="007E3EB0"/>
    <w:rsid w:val="00803DF8"/>
    <w:rsid w:val="00804B9E"/>
    <w:rsid w:val="00813FBF"/>
    <w:rsid w:val="0083205A"/>
    <w:rsid w:val="00837FEE"/>
    <w:rsid w:val="00887CF5"/>
    <w:rsid w:val="00893A00"/>
    <w:rsid w:val="008A2E75"/>
    <w:rsid w:val="0090341E"/>
    <w:rsid w:val="00913EDD"/>
    <w:rsid w:val="009362E1"/>
    <w:rsid w:val="00945E73"/>
    <w:rsid w:val="009579EC"/>
    <w:rsid w:val="0097548F"/>
    <w:rsid w:val="0098649E"/>
    <w:rsid w:val="00986D07"/>
    <w:rsid w:val="009E4940"/>
    <w:rsid w:val="00A00945"/>
    <w:rsid w:val="00A667C2"/>
    <w:rsid w:val="00A850DE"/>
    <w:rsid w:val="00AB67D2"/>
    <w:rsid w:val="00AC37BF"/>
    <w:rsid w:val="00AD7033"/>
    <w:rsid w:val="00AE5194"/>
    <w:rsid w:val="00B04F5D"/>
    <w:rsid w:val="00B255F0"/>
    <w:rsid w:val="00B72398"/>
    <w:rsid w:val="00BD6A68"/>
    <w:rsid w:val="00BF58E7"/>
    <w:rsid w:val="00C22B82"/>
    <w:rsid w:val="00C76051"/>
    <w:rsid w:val="00CB6CE5"/>
    <w:rsid w:val="00D06C71"/>
    <w:rsid w:val="00D318E2"/>
    <w:rsid w:val="00DC4B2E"/>
    <w:rsid w:val="00DD350A"/>
    <w:rsid w:val="00E230DC"/>
    <w:rsid w:val="00E33973"/>
    <w:rsid w:val="00E562CC"/>
    <w:rsid w:val="00EB01A3"/>
    <w:rsid w:val="00EE4EA4"/>
    <w:rsid w:val="00EF4228"/>
    <w:rsid w:val="00F24B55"/>
    <w:rsid w:val="00F405C5"/>
    <w:rsid w:val="00FB370B"/>
    <w:rsid w:val="00FD4261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7738FC7"/>
  <w15:docId w15:val="{798859D8-F8B8-4560-B143-0F10E0A2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A4"/>
    <w:pPr>
      <w:spacing w:after="120" w:line="276" w:lineRule="auto"/>
      <w:jc w:val="both"/>
    </w:pPr>
    <w:rPr>
      <w:rFonts w:cs="Segoe UI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A68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A79F5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48AA"/>
    <w:pPr>
      <w:spacing w:before="240" w:after="60" w:line="240" w:lineRule="auto"/>
      <w:outlineLvl w:val="1"/>
    </w:pPr>
    <w:rPr>
      <w:color w:val="A79F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48AA"/>
    <w:pPr>
      <w:spacing w:before="120" w:after="60"/>
      <w:outlineLvl w:val="2"/>
    </w:pPr>
    <w:rPr>
      <w:i/>
      <w:color w:val="A79F53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BD6A68"/>
    <w:rPr>
      <w:rFonts w:eastAsiaTheme="majorEastAsia" w:cs="Calibri"/>
      <w:bCs/>
      <w:color w:val="A79F53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AE5194"/>
    <w:pPr>
      <w:numPr>
        <w:numId w:val="5"/>
      </w:numPr>
      <w:ind w:left="641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AE5194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2C6766"/>
    <w:rPr>
      <w:b/>
      <w:color w:val="BFB97F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cs="Segoe UI"/>
      <w:color w:val="A79F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cs="Segoe UI"/>
      <w:i/>
      <w:color w:val="A79F53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766"/>
    <w:rPr>
      <w:b/>
      <w:color w:val="BFB97F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C6766"/>
    <w:rPr>
      <w:rFonts w:cs="Segoe UI"/>
      <w:b/>
      <w:color w:val="BFB97F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D48AA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AE5194"/>
    <w:pPr>
      <w:numPr>
        <w:numId w:val="6"/>
      </w:numPr>
      <w:ind w:left="1037" w:hanging="357"/>
    </w:pPr>
  </w:style>
  <w:style w:type="character" w:customStyle="1" w:styleId="Bullet2Char">
    <w:name w:val="Bullet 2 Char"/>
    <w:basedOn w:val="BulletsChar"/>
    <w:link w:val="Bullet2"/>
    <w:rsid w:val="00AE5194"/>
    <w:rPr>
      <w:rFonts w:asciiTheme="minorHAnsi" w:hAnsiTheme="minorHAnsi" w:cs="Segoe UI"/>
      <w:sz w:val="22"/>
      <w:szCs w:val="22"/>
    </w:rPr>
  </w:style>
  <w:style w:type="table" w:styleId="GridTable3">
    <w:name w:val="Grid Table 3"/>
    <w:basedOn w:val="TableNormal"/>
    <w:uiPriority w:val="48"/>
    <w:rsid w:val="003B2E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5">
    <w:name w:val="Plain Table 5"/>
    <w:basedOn w:val="TableNormal"/>
    <w:uiPriority w:val="45"/>
    <w:rsid w:val="003B2EE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3B2E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9754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3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EB0"/>
    <w:rPr>
      <w:rFonts w:cs="Segoe UI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EB0"/>
    <w:rPr>
      <w:rFonts w:cs="Segoe UI"/>
      <w:b/>
      <w:bCs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aft%20Documents\Manual\Page%20Templates\CCDM%20Governance%20Associate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CCDM Governance Associated Document TEMPLATE</Template>
  <TotalTime>54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Breton</dc:creator>
  <cp:lastModifiedBy>Megan Buckley</cp:lastModifiedBy>
  <cp:revision>13</cp:revision>
  <dcterms:created xsi:type="dcterms:W3CDTF">2018-03-26T21:10:00Z</dcterms:created>
  <dcterms:modified xsi:type="dcterms:W3CDTF">2018-04-18T00:07:00Z</dcterms:modified>
</cp:coreProperties>
</file>