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1D" w:rsidRPr="00C8371D" w:rsidRDefault="00F54F68" w:rsidP="00C8371D">
      <w:pPr>
        <w:pStyle w:val="Title"/>
      </w:pPr>
      <w:r>
        <w:t>CCDM</w:t>
      </w:r>
      <w:r w:rsidR="00316B68">
        <w:rPr>
          <w:noProof/>
          <w:lang w:eastAsia="en-NZ"/>
        </w:rPr>
        <w:drawing>
          <wp:anchor distT="0" distB="0" distL="114300" distR="114300" simplePos="0" relativeHeight="251694592" behindDoc="1" locked="0" layoutInCell="1" allowOverlap="1" wp14:anchorId="3FFB4642" wp14:editId="25C32586">
            <wp:simplePos x="0" y="0"/>
            <wp:positionH relativeFrom="page">
              <wp:posOffset>255905</wp:posOffset>
            </wp:positionH>
            <wp:positionV relativeFrom="page">
              <wp:posOffset>723900</wp:posOffset>
            </wp:positionV>
            <wp:extent cx="7041600" cy="871200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r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600" cy="8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71D" w:rsidRPr="00C8371D">
        <w:rPr>
          <w:noProof/>
          <w:lang w:eastAsia="en-NZ"/>
        </w:rPr>
        <w:drawing>
          <wp:anchor distT="0" distB="0" distL="114300" distR="114300" simplePos="0" relativeHeight="251697664" behindDoc="1" locked="0" layoutInCell="1" allowOverlap="1" wp14:anchorId="4A834D76" wp14:editId="2A3F8228">
            <wp:simplePos x="0" y="0"/>
            <wp:positionH relativeFrom="page">
              <wp:posOffset>255905</wp:posOffset>
            </wp:positionH>
            <wp:positionV relativeFrom="page">
              <wp:posOffset>724535</wp:posOffset>
            </wp:positionV>
            <wp:extent cx="7045200" cy="9972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r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5200" cy="9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71D" w:rsidRPr="00C8371D">
        <w:rPr>
          <w:lang w:val="en-US"/>
        </w:rPr>
        <w:t xml:space="preserve"> </w:t>
      </w:r>
      <w:r w:rsidR="00DF0DEF">
        <w:rPr>
          <w:lang w:val="en-US"/>
        </w:rPr>
        <w:t>p</w:t>
      </w:r>
      <w:r w:rsidR="00C8371D" w:rsidRPr="00C8371D">
        <w:rPr>
          <w:lang w:val="en-US"/>
        </w:rPr>
        <w:t xml:space="preserve">rogramme </w:t>
      </w:r>
      <w:r w:rsidR="00D55472">
        <w:rPr>
          <w:lang w:val="en-US"/>
        </w:rPr>
        <w:t>s</w:t>
      </w:r>
      <w:r w:rsidR="00C8371D" w:rsidRPr="00C8371D">
        <w:rPr>
          <w:lang w:val="en-US"/>
        </w:rPr>
        <w:t>tandards</w:t>
      </w:r>
    </w:p>
    <w:p w:rsidR="00C8371D" w:rsidRPr="00C8371D" w:rsidRDefault="00C8371D" w:rsidP="00C8371D">
      <w:pPr>
        <w:keepNext/>
        <w:keepLines/>
        <w:spacing w:before="240" w:line="240" w:lineRule="auto"/>
        <w:jc w:val="left"/>
        <w:outlineLvl w:val="0"/>
        <w:rPr>
          <w:rFonts w:eastAsiaTheme="majorEastAsia" w:cs="Calibri"/>
          <w:bCs/>
          <w:color w:val="A79F53"/>
          <w:sz w:val="40"/>
          <w:szCs w:val="32"/>
          <w:lang w:val="en-US"/>
        </w:rPr>
      </w:pPr>
      <w:r w:rsidRPr="00C8371D">
        <w:rPr>
          <w:rFonts w:eastAsiaTheme="majorEastAsia" w:cs="Calibri"/>
          <w:bCs/>
          <w:color w:val="A79F53"/>
          <w:sz w:val="40"/>
          <w:szCs w:val="32"/>
          <w:lang w:val="en-US"/>
        </w:rPr>
        <w:t xml:space="preserve">Standard 1.0 – CCDM </w:t>
      </w:r>
      <w:r w:rsidR="00D55472">
        <w:rPr>
          <w:rFonts w:eastAsiaTheme="majorEastAsia" w:cs="Calibri"/>
          <w:bCs/>
          <w:color w:val="A79F53"/>
          <w:sz w:val="40"/>
          <w:szCs w:val="32"/>
          <w:lang w:val="en-US"/>
        </w:rPr>
        <w:t>g</w:t>
      </w:r>
      <w:r w:rsidRPr="00C8371D">
        <w:rPr>
          <w:rFonts w:eastAsiaTheme="majorEastAsia" w:cs="Calibri"/>
          <w:bCs/>
          <w:color w:val="A79F53"/>
          <w:sz w:val="40"/>
          <w:szCs w:val="32"/>
          <w:lang w:val="en-US"/>
        </w:rPr>
        <w:t>overnance</w:t>
      </w:r>
    </w:p>
    <w:tbl>
      <w:tblPr>
        <w:tblStyle w:val="TableGrid"/>
        <w:tblW w:w="0" w:type="auto"/>
        <w:tblBorders>
          <w:top w:val="single" w:sz="4" w:space="0" w:color="BFB97F"/>
          <w:left w:val="single" w:sz="4" w:space="0" w:color="BFB97F"/>
          <w:bottom w:val="single" w:sz="4" w:space="0" w:color="BFB97F"/>
          <w:right w:val="single" w:sz="4" w:space="0" w:color="BFB97F"/>
          <w:insideH w:val="single" w:sz="4" w:space="0" w:color="BFB97F"/>
          <w:insideV w:val="single" w:sz="4" w:space="0" w:color="BFB97F"/>
        </w:tblBorders>
        <w:tblLook w:val="04A0" w:firstRow="1" w:lastRow="0" w:firstColumn="1" w:lastColumn="0" w:noHBand="0" w:noVBand="1"/>
      </w:tblPr>
      <w:tblGrid>
        <w:gridCol w:w="9010"/>
      </w:tblGrid>
      <w:tr w:rsidR="00C8371D" w:rsidRPr="00C8371D" w:rsidTr="003B39BD">
        <w:tc>
          <w:tcPr>
            <w:tcW w:w="9286" w:type="dxa"/>
            <w:shd w:val="clear" w:color="auto" w:fill="BFB97F"/>
          </w:tcPr>
          <w:p w:rsidR="00C8371D" w:rsidRPr="00C8371D" w:rsidRDefault="00C8371D" w:rsidP="00C8371D">
            <w:pPr>
              <w:tabs>
                <w:tab w:val="left" w:pos="2160"/>
              </w:tabs>
              <w:spacing w:before="60" w:after="60"/>
              <w:ind w:left="2160" w:hanging="2160"/>
              <w:jc w:val="left"/>
              <w:rPr>
                <w:b/>
                <w:bCs/>
                <w:lang w:val="en-US"/>
              </w:rPr>
            </w:pPr>
            <w:r w:rsidRPr="00C8371D">
              <w:rPr>
                <w:b/>
                <w:bCs/>
                <w:lang w:val="en-US"/>
              </w:rPr>
              <w:t xml:space="preserve">Standard 1.0 </w:t>
            </w:r>
          </w:p>
          <w:p w:rsidR="00C8371D" w:rsidRPr="00C8371D" w:rsidRDefault="00C8371D" w:rsidP="00C8371D">
            <w:pPr>
              <w:rPr>
                <w:b/>
                <w:lang w:val="en-US"/>
              </w:rPr>
            </w:pPr>
            <w:r w:rsidRPr="00C8371D">
              <w:rPr>
                <w:lang w:val="en-US"/>
              </w:rPr>
              <w:t>The CCDM governance councils (organisation and ward/unit) ensure that care capacity demand management is planned, coordinated and appropriate for staff and patients.</w:t>
            </w:r>
          </w:p>
        </w:tc>
      </w:tr>
    </w:tbl>
    <w:p w:rsidR="00C8371D" w:rsidRPr="00C8371D" w:rsidRDefault="00C8371D" w:rsidP="00C8371D">
      <w:pPr>
        <w:spacing w:after="0" w:line="240" w:lineRule="auto"/>
        <w:rPr>
          <w:rFonts w:cs="Times New Roman"/>
          <w:sz w:val="20"/>
          <w:szCs w:val="20"/>
          <w:lang w:val="en-US"/>
        </w:rPr>
      </w:pPr>
    </w:p>
    <w:tbl>
      <w:tblPr>
        <w:tblStyle w:val="TableGrid"/>
        <w:tblW w:w="5000" w:type="pct"/>
        <w:tblBorders>
          <w:top w:val="single" w:sz="4" w:space="0" w:color="BFB97F"/>
          <w:left w:val="single" w:sz="4" w:space="0" w:color="BFB97F"/>
          <w:bottom w:val="single" w:sz="4" w:space="0" w:color="BFB97F"/>
          <w:right w:val="single" w:sz="4" w:space="0" w:color="BFB97F"/>
          <w:insideH w:val="single" w:sz="4" w:space="0" w:color="BFB97F"/>
          <w:insideV w:val="single" w:sz="4" w:space="0" w:color="BFB97F"/>
        </w:tblBorders>
        <w:tblLook w:val="04A0" w:firstRow="1" w:lastRow="0" w:firstColumn="1" w:lastColumn="0" w:noHBand="0" w:noVBand="1"/>
      </w:tblPr>
      <w:tblGrid>
        <w:gridCol w:w="3840"/>
        <w:gridCol w:w="5170"/>
      </w:tblGrid>
      <w:tr w:rsidR="00C8371D" w:rsidRPr="00C8371D" w:rsidTr="003B39BD">
        <w:trPr>
          <w:trHeight w:val="243"/>
          <w:tblHeader/>
        </w:trPr>
        <w:tc>
          <w:tcPr>
            <w:tcW w:w="2131" w:type="pct"/>
            <w:shd w:val="clear" w:color="auto" w:fill="BFB97F"/>
          </w:tcPr>
          <w:p w:rsidR="00C8371D" w:rsidRPr="00C8371D" w:rsidRDefault="00C8371D" w:rsidP="00C8371D">
            <w:pPr>
              <w:tabs>
                <w:tab w:val="left" w:pos="2160"/>
              </w:tabs>
              <w:spacing w:before="60" w:after="60"/>
              <w:ind w:left="2160" w:hanging="2160"/>
              <w:jc w:val="left"/>
              <w:rPr>
                <w:b/>
                <w:bCs/>
                <w:lang w:val="en-US"/>
              </w:rPr>
            </w:pPr>
            <w:r w:rsidRPr="00C8371D">
              <w:rPr>
                <w:b/>
                <w:bCs/>
                <w:lang w:val="en-US"/>
              </w:rPr>
              <w:t>Criteria</w:t>
            </w:r>
          </w:p>
        </w:tc>
        <w:tc>
          <w:tcPr>
            <w:tcW w:w="2869" w:type="pct"/>
            <w:shd w:val="clear" w:color="auto" w:fill="BFB97F"/>
          </w:tcPr>
          <w:p w:rsidR="00C8371D" w:rsidRPr="00C8371D" w:rsidRDefault="00C8371D" w:rsidP="00C8371D">
            <w:pPr>
              <w:tabs>
                <w:tab w:val="left" w:pos="2160"/>
              </w:tabs>
              <w:spacing w:before="60" w:after="60"/>
              <w:ind w:left="2160" w:hanging="2160"/>
              <w:jc w:val="left"/>
              <w:rPr>
                <w:b/>
                <w:bCs/>
                <w:lang w:val="en-US"/>
              </w:rPr>
            </w:pPr>
            <w:r w:rsidRPr="00C8371D">
              <w:rPr>
                <w:b/>
                <w:bCs/>
                <w:lang w:val="en-US"/>
              </w:rPr>
              <w:t>Guidance</w:t>
            </w:r>
          </w:p>
        </w:tc>
      </w:tr>
      <w:tr w:rsidR="00C8371D" w:rsidRPr="00C8371D" w:rsidTr="003B39BD">
        <w:trPr>
          <w:trHeight w:val="993"/>
        </w:trPr>
        <w:tc>
          <w:tcPr>
            <w:tcW w:w="2131" w:type="pct"/>
          </w:tcPr>
          <w:p w:rsidR="00C8371D" w:rsidRPr="00C8371D" w:rsidRDefault="00C8371D" w:rsidP="00D55472">
            <w:pPr>
              <w:numPr>
                <w:ilvl w:val="0"/>
                <w:numId w:val="8"/>
              </w:numPr>
              <w:spacing w:after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The purpose, values, scope and direction of the </w:t>
            </w:r>
            <w:r w:rsidR="006E3CE1" w:rsidRPr="00C8371D">
              <w:rPr>
                <w:rFonts w:cs="Times New Roman"/>
                <w:sz w:val="20"/>
                <w:szCs w:val="20"/>
                <w:lang w:val="en-US"/>
              </w:rPr>
              <w:t>organisations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  CCDM </w:t>
            </w:r>
            <w:r w:rsidR="00D55472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ouncil and ward/unit  </w:t>
            </w:r>
            <w:r w:rsidR="00D55472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ocal </w:t>
            </w:r>
            <w:r w:rsidR="00D55472">
              <w:rPr>
                <w:rFonts w:cs="Times New Roman"/>
                <w:sz w:val="20"/>
                <w:szCs w:val="20"/>
                <w:lang w:val="en-US"/>
              </w:rPr>
              <w:t>d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ata </w:t>
            </w:r>
            <w:r w:rsidR="00D55472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>ouncils is clearly identified and regularly reviewed</w:t>
            </w:r>
          </w:p>
        </w:tc>
        <w:tc>
          <w:tcPr>
            <w:tcW w:w="2869" w:type="pct"/>
            <w:shd w:val="clear" w:color="auto" w:fill="E6E4CC"/>
          </w:tcPr>
          <w:p w:rsidR="00C8371D" w:rsidRPr="00C8371D" w:rsidRDefault="00D55472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There is a combined DHB and health u</w:t>
            </w:r>
            <w:r w:rsidR="00C8371D" w:rsidRPr="00C8371D">
              <w:rPr>
                <w:i/>
                <w:sz w:val="20"/>
                <w:szCs w:val="20"/>
                <w:lang w:val="en-US"/>
              </w:rPr>
              <w:t xml:space="preserve">nion partnership approach to CCDM </w:t>
            </w:r>
            <w:r w:rsidR="00F54F68">
              <w:rPr>
                <w:i/>
                <w:sz w:val="20"/>
                <w:szCs w:val="20"/>
                <w:lang w:val="en-US"/>
              </w:rPr>
              <w:t>P</w:t>
            </w:r>
            <w:r w:rsidR="00C8371D" w:rsidRPr="00C8371D">
              <w:rPr>
                <w:i/>
                <w:sz w:val="20"/>
                <w:szCs w:val="20"/>
                <w:lang w:val="en-US"/>
              </w:rPr>
              <w:t>rogramme implementation.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There are documented and agreed terms of reference that are reviewed annually. 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The CCDM </w:t>
            </w:r>
            <w:r w:rsidR="00F54F68">
              <w:rPr>
                <w:i/>
                <w:sz w:val="20"/>
                <w:szCs w:val="20"/>
                <w:lang w:val="en-US"/>
              </w:rPr>
              <w:t>P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rogramme forms part of the </w:t>
            </w:r>
            <w:r w:rsidR="006E3CE1" w:rsidRPr="00C8371D">
              <w:rPr>
                <w:i/>
                <w:sz w:val="20"/>
                <w:szCs w:val="20"/>
                <w:lang w:val="en-US"/>
              </w:rPr>
              <w:t>organisations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 documented quality improvement strategy.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The </w:t>
            </w:r>
            <w:r w:rsidR="00D55472">
              <w:rPr>
                <w:i/>
                <w:sz w:val="20"/>
                <w:szCs w:val="20"/>
                <w:lang w:val="en-US"/>
              </w:rPr>
              <w:t>c</w:t>
            </w:r>
            <w:r w:rsidRPr="00C8371D">
              <w:rPr>
                <w:i/>
                <w:sz w:val="20"/>
                <w:szCs w:val="20"/>
                <w:lang w:val="en-US"/>
              </w:rPr>
              <w:t>ouncils’ activities are focused on both programme implementation and ongoing monitoring of care capacity demand management.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Membership includes all agreed and required stakeholders.</w:t>
            </w:r>
          </w:p>
        </w:tc>
      </w:tr>
      <w:tr w:rsidR="00C8371D" w:rsidRPr="00C8371D" w:rsidTr="003B39BD">
        <w:trPr>
          <w:trHeight w:val="993"/>
        </w:trPr>
        <w:tc>
          <w:tcPr>
            <w:tcW w:w="2131" w:type="pct"/>
          </w:tcPr>
          <w:p w:rsidR="00C8371D" w:rsidRPr="00C8371D" w:rsidRDefault="00C8371D" w:rsidP="00C8371D">
            <w:pPr>
              <w:numPr>
                <w:ilvl w:val="0"/>
                <w:numId w:val="8"/>
              </w:numPr>
              <w:spacing w:after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Permanent governance for CCDM is established for the organisation and for each ward/unit </w:t>
            </w:r>
          </w:p>
        </w:tc>
        <w:tc>
          <w:tcPr>
            <w:tcW w:w="2869" w:type="pct"/>
            <w:shd w:val="clear" w:color="auto" w:fill="E6E4CC"/>
          </w:tcPr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There is a CCDM </w:t>
            </w:r>
            <w:r w:rsidR="00D55472">
              <w:rPr>
                <w:i/>
                <w:sz w:val="20"/>
                <w:szCs w:val="20"/>
                <w:lang w:val="en-US"/>
              </w:rPr>
              <w:t>c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ouncil for the organisation and </w:t>
            </w:r>
            <w:r w:rsidR="00D55472">
              <w:rPr>
                <w:i/>
                <w:sz w:val="20"/>
                <w:szCs w:val="20"/>
                <w:lang w:val="en-US"/>
              </w:rPr>
              <w:t>l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ocal </w:t>
            </w:r>
            <w:r w:rsidR="00D55472">
              <w:rPr>
                <w:i/>
                <w:sz w:val="20"/>
                <w:szCs w:val="20"/>
                <w:lang w:val="en-US"/>
              </w:rPr>
              <w:t>d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ata </w:t>
            </w:r>
            <w:r w:rsidR="00D55472">
              <w:rPr>
                <w:i/>
                <w:sz w:val="20"/>
                <w:szCs w:val="20"/>
                <w:lang w:val="en-US"/>
              </w:rPr>
              <w:t>c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ouncils for each ward/unit. 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The councils are led by suitably qualified and/or experienced persons with authority, accountability and responsibility for service provision. This may include a </w:t>
            </w:r>
            <w:r w:rsidR="00D55472">
              <w:rPr>
                <w:i/>
                <w:sz w:val="20"/>
                <w:szCs w:val="20"/>
                <w:lang w:val="en-US"/>
              </w:rPr>
              <w:t xml:space="preserve">DHB and health </w:t>
            </w:r>
            <w:r w:rsidRPr="00C8371D">
              <w:rPr>
                <w:i/>
                <w:sz w:val="20"/>
                <w:szCs w:val="20"/>
                <w:lang w:val="en-US"/>
              </w:rPr>
              <w:t>union co-lead.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The councils</w:t>
            </w:r>
            <w:r w:rsidR="00D55472">
              <w:rPr>
                <w:i/>
                <w:sz w:val="20"/>
                <w:szCs w:val="20"/>
                <w:lang w:val="en-US"/>
              </w:rPr>
              <w:t>’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 meet according to their documented terms of reference.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All stakeholders demonstrate knowledge and understanding of the CCDM </w:t>
            </w:r>
            <w:r w:rsidR="00F54F68">
              <w:rPr>
                <w:i/>
                <w:sz w:val="20"/>
                <w:szCs w:val="20"/>
                <w:lang w:val="en-US"/>
              </w:rPr>
              <w:t>P</w:t>
            </w:r>
            <w:r w:rsidRPr="00C8371D">
              <w:rPr>
                <w:i/>
                <w:sz w:val="20"/>
                <w:szCs w:val="20"/>
                <w:lang w:val="en-US"/>
              </w:rPr>
              <w:t>rogramme.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There is evidence of regular meetings with documented actions and timelines.</w:t>
            </w:r>
          </w:p>
          <w:p w:rsidR="00C8371D" w:rsidRPr="00C8371D" w:rsidRDefault="00C8371D" w:rsidP="00162B35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There are formalised agreed CCDM </w:t>
            </w:r>
            <w:r w:rsidR="00162B35">
              <w:rPr>
                <w:i/>
                <w:sz w:val="20"/>
                <w:szCs w:val="20"/>
                <w:lang w:val="en-US"/>
              </w:rPr>
              <w:t>workp</w:t>
            </w:r>
            <w:r w:rsidRPr="00C8371D">
              <w:rPr>
                <w:i/>
                <w:sz w:val="20"/>
                <w:szCs w:val="20"/>
                <w:lang w:val="en-US"/>
              </w:rPr>
              <w:t>lans which are reviewed at each meeting.</w:t>
            </w:r>
          </w:p>
        </w:tc>
      </w:tr>
      <w:tr w:rsidR="00C8371D" w:rsidRPr="00C8371D" w:rsidTr="003B39BD">
        <w:trPr>
          <w:trHeight w:val="607"/>
        </w:trPr>
        <w:tc>
          <w:tcPr>
            <w:tcW w:w="2131" w:type="pct"/>
          </w:tcPr>
          <w:p w:rsidR="00C8371D" w:rsidRPr="00C8371D" w:rsidRDefault="00C8371D" w:rsidP="00C8371D">
            <w:pPr>
              <w:numPr>
                <w:ilvl w:val="0"/>
                <w:numId w:val="8"/>
              </w:numPr>
              <w:spacing w:after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Permanent governance for CCDM is effective and operational for </w:t>
            </w:r>
          </w:p>
          <w:p w:rsidR="00C8371D" w:rsidRPr="00C8371D" w:rsidRDefault="00C8371D" w:rsidP="00C8371D">
            <w:pPr>
              <w:numPr>
                <w:ilvl w:val="1"/>
                <w:numId w:val="8"/>
              </w:numPr>
              <w:spacing w:after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CCDM </w:t>
            </w:r>
            <w:r w:rsidR="00D55472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>ouncil and</w:t>
            </w:r>
          </w:p>
          <w:p w:rsidR="00C8371D" w:rsidRPr="00C8371D" w:rsidRDefault="00C8371D" w:rsidP="00D55472">
            <w:pPr>
              <w:numPr>
                <w:ilvl w:val="1"/>
                <w:numId w:val="8"/>
              </w:numPr>
              <w:spacing w:after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Local </w:t>
            </w:r>
            <w:r w:rsidR="00D55472">
              <w:rPr>
                <w:rFonts w:cs="Times New Roman"/>
                <w:sz w:val="20"/>
                <w:szCs w:val="20"/>
                <w:lang w:val="en-US"/>
              </w:rPr>
              <w:t>d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ata </w:t>
            </w:r>
            <w:r w:rsidR="00D55472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>ouncils</w:t>
            </w:r>
          </w:p>
        </w:tc>
        <w:tc>
          <w:tcPr>
            <w:tcW w:w="2869" w:type="pct"/>
            <w:shd w:val="clear" w:color="auto" w:fill="E6E4CC"/>
          </w:tcPr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The </w:t>
            </w:r>
            <w:r w:rsidR="00D55472">
              <w:rPr>
                <w:i/>
                <w:sz w:val="20"/>
                <w:szCs w:val="20"/>
                <w:lang w:val="en-US"/>
              </w:rPr>
              <w:t>c</w:t>
            </w:r>
            <w:r w:rsidRPr="00C8371D">
              <w:rPr>
                <w:i/>
                <w:sz w:val="20"/>
                <w:szCs w:val="20"/>
                <w:lang w:val="en-US"/>
              </w:rPr>
              <w:t>ouncils</w:t>
            </w:r>
            <w:r w:rsidR="00D55472">
              <w:rPr>
                <w:i/>
                <w:sz w:val="20"/>
                <w:szCs w:val="20"/>
                <w:lang w:val="en-US"/>
              </w:rPr>
              <w:t>’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 meet according to frequency stated in their documented terms of reference.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Minutes show 80% attendance of all listed parties.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Both DHB and </w:t>
            </w:r>
            <w:r w:rsidR="00D55472">
              <w:rPr>
                <w:i/>
                <w:sz w:val="20"/>
                <w:szCs w:val="20"/>
                <w:lang w:val="en-US"/>
              </w:rPr>
              <w:t xml:space="preserve">health </w:t>
            </w:r>
            <w:r w:rsidRPr="00C8371D">
              <w:rPr>
                <w:i/>
                <w:sz w:val="20"/>
                <w:szCs w:val="20"/>
                <w:lang w:val="en-US"/>
              </w:rPr>
              <w:t>union partners actively lead programme implementation.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Councils</w:t>
            </w:r>
            <w:r w:rsidR="00D55472">
              <w:rPr>
                <w:i/>
                <w:sz w:val="20"/>
                <w:szCs w:val="20"/>
                <w:lang w:val="en-US"/>
              </w:rPr>
              <w:t>’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 at all levels of the organisation report from </w:t>
            </w:r>
            <w:r w:rsidR="00162B35">
              <w:rPr>
                <w:i/>
                <w:sz w:val="20"/>
                <w:szCs w:val="20"/>
                <w:lang w:val="en-US"/>
              </w:rPr>
              <w:t>the f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loor to </w:t>
            </w:r>
            <w:r w:rsidR="00162B35">
              <w:rPr>
                <w:i/>
                <w:sz w:val="20"/>
                <w:szCs w:val="20"/>
                <w:lang w:val="en-US"/>
              </w:rPr>
              <w:t>the board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 against agreed CCDM </w:t>
            </w:r>
            <w:r w:rsidR="00162B35">
              <w:rPr>
                <w:i/>
                <w:sz w:val="20"/>
                <w:szCs w:val="20"/>
                <w:lang w:val="en-US"/>
              </w:rPr>
              <w:t>workp</w:t>
            </w:r>
            <w:r w:rsidRPr="00C8371D">
              <w:rPr>
                <w:i/>
                <w:sz w:val="20"/>
                <w:szCs w:val="20"/>
                <w:lang w:val="en-US"/>
              </w:rPr>
              <w:t>lans.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The organisation CCDM council regularly communicates with all stakeholders and levels of the organisation. 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lastRenderedPageBreak/>
              <w:t>Meeting minutes include evidence of regular DHB</w:t>
            </w:r>
            <w:r w:rsidR="00D55472">
              <w:rPr>
                <w:i/>
                <w:sz w:val="20"/>
                <w:szCs w:val="20"/>
                <w:lang w:val="en-US"/>
              </w:rPr>
              <w:t xml:space="preserve"> and health u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nion partnership review. </w:t>
            </w:r>
          </w:p>
          <w:p w:rsidR="00C8371D" w:rsidRPr="00C8371D" w:rsidRDefault="00C8371D" w:rsidP="00F54F68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CCDM </w:t>
            </w:r>
            <w:r w:rsidR="00F54F68">
              <w:rPr>
                <w:i/>
                <w:sz w:val="20"/>
                <w:szCs w:val="20"/>
                <w:lang w:val="en-US"/>
              </w:rPr>
              <w:t>P</w:t>
            </w:r>
            <w:r w:rsidRPr="00C8371D">
              <w:rPr>
                <w:i/>
                <w:sz w:val="20"/>
                <w:szCs w:val="20"/>
                <w:lang w:val="en-US"/>
              </w:rPr>
              <w:t>rogramme implementation is progressing according to agreed timelines.</w:t>
            </w:r>
          </w:p>
        </w:tc>
      </w:tr>
      <w:tr w:rsidR="00C8371D" w:rsidRPr="00C8371D" w:rsidTr="003B39BD">
        <w:trPr>
          <w:trHeight w:val="721"/>
        </w:trPr>
        <w:tc>
          <w:tcPr>
            <w:tcW w:w="2131" w:type="pct"/>
          </w:tcPr>
          <w:p w:rsidR="00C8371D" w:rsidRPr="00C8371D" w:rsidRDefault="00C8371D" w:rsidP="00D55472">
            <w:pPr>
              <w:numPr>
                <w:ilvl w:val="0"/>
                <w:numId w:val="8"/>
              </w:numPr>
              <w:spacing w:after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sz w:val="20"/>
                <w:szCs w:val="20"/>
                <w:lang w:val="en-US"/>
              </w:rPr>
              <w:lastRenderedPageBreak/>
              <w:t xml:space="preserve">The CCDM </w:t>
            </w:r>
            <w:r w:rsidR="00D55472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ouncil and ward/unit </w:t>
            </w:r>
            <w:r w:rsidR="00D55472">
              <w:rPr>
                <w:rFonts w:cs="Times New Roman"/>
                <w:sz w:val="20"/>
                <w:szCs w:val="20"/>
                <w:lang w:val="en-US"/>
              </w:rPr>
              <w:t>l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ocal </w:t>
            </w:r>
            <w:r w:rsidR="00D55472">
              <w:rPr>
                <w:rFonts w:cs="Times New Roman"/>
                <w:sz w:val="20"/>
                <w:szCs w:val="20"/>
                <w:lang w:val="en-US"/>
              </w:rPr>
              <w:t>d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ata </w:t>
            </w:r>
            <w:r w:rsidR="00D55472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>ouncils establish, monitor and act on CCDM data for continuous quality improvement.</w:t>
            </w:r>
          </w:p>
        </w:tc>
        <w:tc>
          <w:tcPr>
            <w:tcW w:w="2869" w:type="pct"/>
            <w:shd w:val="clear" w:color="auto" w:fill="E6E4CC"/>
          </w:tcPr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The </w:t>
            </w:r>
            <w:r w:rsidR="00D55472">
              <w:rPr>
                <w:i/>
                <w:sz w:val="20"/>
                <w:szCs w:val="20"/>
                <w:lang w:val="en-US"/>
              </w:rPr>
              <w:t>c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ore </w:t>
            </w:r>
            <w:r w:rsidR="00D55472">
              <w:rPr>
                <w:i/>
                <w:sz w:val="20"/>
                <w:szCs w:val="20"/>
                <w:lang w:val="en-US"/>
              </w:rPr>
              <w:t>d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ata </w:t>
            </w:r>
            <w:r w:rsidR="00D55472">
              <w:rPr>
                <w:i/>
                <w:sz w:val="20"/>
                <w:szCs w:val="20"/>
                <w:lang w:val="en-US"/>
              </w:rPr>
              <w:t>s</w:t>
            </w:r>
            <w:r w:rsidRPr="00C8371D">
              <w:rPr>
                <w:i/>
                <w:sz w:val="20"/>
                <w:szCs w:val="20"/>
                <w:lang w:val="en-US"/>
              </w:rPr>
              <w:t>et is used to evaluate the effectiveness of care capacity demand management over time.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The </w:t>
            </w:r>
            <w:r w:rsidR="00D55472">
              <w:rPr>
                <w:i/>
                <w:sz w:val="20"/>
                <w:szCs w:val="20"/>
                <w:lang w:val="en-US"/>
              </w:rPr>
              <w:t>co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re </w:t>
            </w:r>
            <w:r w:rsidR="00D55472">
              <w:rPr>
                <w:i/>
                <w:sz w:val="20"/>
                <w:szCs w:val="20"/>
                <w:lang w:val="en-US"/>
              </w:rPr>
              <w:t>d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ata </w:t>
            </w:r>
            <w:r w:rsidR="00D55472">
              <w:rPr>
                <w:i/>
                <w:sz w:val="20"/>
                <w:szCs w:val="20"/>
                <w:lang w:val="en-US"/>
              </w:rPr>
              <w:t>s</w:t>
            </w:r>
            <w:r w:rsidRPr="00C8371D">
              <w:rPr>
                <w:i/>
                <w:sz w:val="20"/>
                <w:szCs w:val="20"/>
                <w:lang w:val="en-US"/>
              </w:rPr>
              <w:t>et is reviewed at each council meeting at all levels of the organisation.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The </w:t>
            </w:r>
            <w:r w:rsidR="00D55472">
              <w:rPr>
                <w:i/>
                <w:sz w:val="20"/>
                <w:szCs w:val="20"/>
                <w:lang w:val="en-US"/>
              </w:rPr>
              <w:t>c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ore </w:t>
            </w:r>
            <w:r w:rsidR="00D55472">
              <w:rPr>
                <w:i/>
                <w:sz w:val="20"/>
                <w:szCs w:val="20"/>
                <w:lang w:val="en-US"/>
              </w:rPr>
              <w:t>d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ata </w:t>
            </w:r>
            <w:r w:rsidR="00D55472">
              <w:rPr>
                <w:i/>
                <w:sz w:val="20"/>
                <w:szCs w:val="20"/>
                <w:lang w:val="en-US"/>
              </w:rPr>
              <w:t>s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et results are used to inform the annual CCDM </w:t>
            </w:r>
            <w:r w:rsidR="00162B35">
              <w:rPr>
                <w:i/>
                <w:sz w:val="20"/>
                <w:szCs w:val="20"/>
                <w:lang w:val="en-US"/>
              </w:rPr>
              <w:t>workplan</w:t>
            </w:r>
            <w:r w:rsidRPr="00C8371D">
              <w:rPr>
                <w:i/>
                <w:sz w:val="20"/>
                <w:szCs w:val="20"/>
                <w:lang w:val="en-US"/>
              </w:rPr>
              <w:t>s.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There are regular reviews of variance response management including reported staffing shortfall events.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There is evidence of a bipartite approach to issue resolution.</w:t>
            </w:r>
          </w:p>
          <w:p w:rsidR="00C8371D" w:rsidRPr="00C8371D" w:rsidRDefault="00C8371D" w:rsidP="00D55472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The CCDM </w:t>
            </w:r>
            <w:r w:rsidR="00D55472">
              <w:rPr>
                <w:i/>
                <w:sz w:val="20"/>
                <w:szCs w:val="20"/>
                <w:lang w:val="en-US"/>
              </w:rPr>
              <w:t>c</w:t>
            </w:r>
            <w:r w:rsidRPr="00C8371D">
              <w:rPr>
                <w:i/>
                <w:sz w:val="20"/>
                <w:szCs w:val="20"/>
                <w:lang w:val="en-US"/>
              </w:rPr>
              <w:t>ouncil takes action on issues and escalates to the Board where appropriate.</w:t>
            </w:r>
          </w:p>
        </w:tc>
      </w:tr>
    </w:tbl>
    <w:p w:rsidR="00C8371D" w:rsidRPr="00C8371D" w:rsidRDefault="00C8371D" w:rsidP="00C8371D">
      <w:pPr>
        <w:jc w:val="left"/>
        <w:rPr>
          <w:lang w:val="en-US"/>
        </w:rPr>
      </w:pPr>
    </w:p>
    <w:p w:rsidR="00C8371D" w:rsidRPr="00C8371D" w:rsidRDefault="00C8371D" w:rsidP="00C8371D">
      <w:pPr>
        <w:jc w:val="left"/>
        <w:rPr>
          <w:lang w:val="en-US"/>
        </w:rPr>
      </w:pPr>
    </w:p>
    <w:p w:rsidR="00C8371D" w:rsidRPr="00C8371D" w:rsidRDefault="00C8371D" w:rsidP="00C8371D">
      <w:pPr>
        <w:spacing w:after="0" w:line="240" w:lineRule="auto"/>
        <w:jc w:val="left"/>
        <w:rPr>
          <w:rFonts w:eastAsiaTheme="majorEastAsia" w:cs="Calibri"/>
          <w:bCs/>
          <w:color w:val="A79F53"/>
          <w:sz w:val="44"/>
          <w:szCs w:val="32"/>
          <w:lang w:val="en-US"/>
        </w:rPr>
      </w:pPr>
      <w:r w:rsidRPr="00C8371D">
        <w:rPr>
          <w:lang w:val="en-US"/>
        </w:rPr>
        <w:br w:type="page"/>
      </w:r>
    </w:p>
    <w:p w:rsidR="00C8371D" w:rsidRPr="00C8371D" w:rsidRDefault="00C8371D" w:rsidP="00C8371D">
      <w:pPr>
        <w:keepNext/>
        <w:keepLines/>
        <w:spacing w:before="240" w:line="240" w:lineRule="auto"/>
        <w:jc w:val="left"/>
        <w:outlineLvl w:val="0"/>
        <w:rPr>
          <w:rFonts w:eastAsiaTheme="majorEastAsia" w:cs="Calibri"/>
          <w:bCs/>
          <w:color w:val="A79F53"/>
          <w:sz w:val="40"/>
          <w:szCs w:val="32"/>
          <w:lang w:val="en-US"/>
        </w:rPr>
      </w:pPr>
      <w:r w:rsidRPr="00C8371D">
        <w:rPr>
          <w:rFonts w:eastAsiaTheme="majorEastAsia" w:cs="Calibri"/>
          <w:bCs/>
          <w:color w:val="A79F53"/>
          <w:sz w:val="40"/>
          <w:szCs w:val="32"/>
          <w:lang w:val="en-US"/>
        </w:rPr>
        <w:lastRenderedPageBreak/>
        <w:t xml:space="preserve">Standard 2.0 – Validated </w:t>
      </w:r>
      <w:r w:rsidR="00F54F68">
        <w:rPr>
          <w:rFonts w:eastAsiaTheme="majorEastAsia" w:cs="Calibri"/>
          <w:bCs/>
          <w:color w:val="A79F53"/>
          <w:sz w:val="40"/>
          <w:szCs w:val="32"/>
          <w:lang w:val="en-US"/>
        </w:rPr>
        <w:t>p</w:t>
      </w:r>
      <w:r w:rsidRPr="00C8371D">
        <w:rPr>
          <w:rFonts w:eastAsiaTheme="majorEastAsia" w:cs="Calibri"/>
          <w:bCs/>
          <w:color w:val="A79F53"/>
          <w:sz w:val="40"/>
          <w:szCs w:val="32"/>
          <w:lang w:val="en-US"/>
        </w:rPr>
        <w:t xml:space="preserve">atient </w:t>
      </w:r>
      <w:r w:rsidR="00F54F68">
        <w:rPr>
          <w:rFonts w:eastAsiaTheme="majorEastAsia" w:cs="Calibri"/>
          <w:bCs/>
          <w:color w:val="A79F53"/>
          <w:sz w:val="40"/>
          <w:szCs w:val="32"/>
          <w:lang w:val="en-US"/>
        </w:rPr>
        <w:t>a</w:t>
      </w:r>
      <w:r w:rsidRPr="00C8371D">
        <w:rPr>
          <w:rFonts w:eastAsiaTheme="majorEastAsia" w:cs="Calibri"/>
          <w:bCs/>
          <w:color w:val="A79F53"/>
          <w:sz w:val="40"/>
          <w:szCs w:val="32"/>
          <w:lang w:val="en-US"/>
        </w:rPr>
        <w:t xml:space="preserve">cuity </w:t>
      </w:r>
      <w:r w:rsidR="00F54F68">
        <w:rPr>
          <w:rFonts w:eastAsiaTheme="majorEastAsia" w:cs="Calibri"/>
          <w:bCs/>
          <w:color w:val="A79F53"/>
          <w:sz w:val="40"/>
          <w:szCs w:val="32"/>
          <w:lang w:val="en-US"/>
        </w:rPr>
        <w:t>t</w:t>
      </w:r>
      <w:r w:rsidRPr="00C8371D">
        <w:rPr>
          <w:rFonts w:eastAsiaTheme="majorEastAsia" w:cs="Calibri"/>
          <w:bCs/>
          <w:color w:val="A79F53"/>
          <w:sz w:val="40"/>
          <w:szCs w:val="32"/>
          <w:lang w:val="en-US"/>
        </w:rPr>
        <w:t>ool</w:t>
      </w:r>
    </w:p>
    <w:tbl>
      <w:tblPr>
        <w:tblStyle w:val="TableGrid"/>
        <w:tblW w:w="5000" w:type="pct"/>
        <w:tblBorders>
          <w:top w:val="single" w:sz="4" w:space="0" w:color="BFB97F"/>
          <w:left w:val="single" w:sz="4" w:space="0" w:color="BFB97F"/>
          <w:bottom w:val="single" w:sz="4" w:space="0" w:color="BFB97F"/>
          <w:right w:val="single" w:sz="4" w:space="0" w:color="BFB97F"/>
          <w:insideH w:val="single" w:sz="4" w:space="0" w:color="BFB97F"/>
          <w:insideV w:val="single" w:sz="4" w:space="0" w:color="BFB97F"/>
        </w:tblBorders>
        <w:shd w:val="clear" w:color="auto" w:fill="BFB97F"/>
        <w:tblLook w:val="04A0" w:firstRow="1" w:lastRow="0" w:firstColumn="1" w:lastColumn="0" w:noHBand="0" w:noVBand="1"/>
      </w:tblPr>
      <w:tblGrid>
        <w:gridCol w:w="9010"/>
      </w:tblGrid>
      <w:tr w:rsidR="00C8371D" w:rsidRPr="00C8371D" w:rsidTr="003B39BD">
        <w:tc>
          <w:tcPr>
            <w:tcW w:w="5000" w:type="pct"/>
            <w:shd w:val="clear" w:color="auto" w:fill="BFB97F"/>
          </w:tcPr>
          <w:p w:rsidR="00C8371D" w:rsidRPr="00C8371D" w:rsidRDefault="00C8371D" w:rsidP="00C8371D">
            <w:pPr>
              <w:tabs>
                <w:tab w:val="left" w:pos="2160"/>
              </w:tabs>
              <w:spacing w:before="60" w:after="60"/>
              <w:ind w:left="2160" w:hanging="2160"/>
              <w:jc w:val="left"/>
              <w:rPr>
                <w:b/>
                <w:bCs/>
                <w:lang w:val="en-US"/>
              </w:rPr>
            </w:pPr>
            <w:r w:rsidRPr="00C8371D">
              <w:rPr>
                <w:b/>
                <w:bCs/>
                <w:lang w:val="en-US"/>
              </w:rPr>
              <w:t xml:space="preserve">Standard 2.0 </w:t>
            </w:r>
          </w:p>
          <w:p w:rsidR="00C8371D" w:rsidRPr="00C8371D" w:rsidRDefault="00C8371D" w:rsidP="00C8371D">
            <w:pPr>
              <w:jc w:val="left"/>
              <w:rPr>
                <w:lang w:val="en-US"/>
              </w:rPr>
            </w:pPr>
            <w:r w:rsidRPr="00C8371D">
              <w:rPr>
                <w:lang w:val="en-US"/>
              </w:rPr>
              <w:t>The validated patient acuity tool underpins care capacity demand management for service delivery.</w:t>
            </w:r>
          </w:p>
        </w:tc>
      </w:tr>
    </w:tbl>
    <w:p w:rsidR="00C8371D" w:rsidRPr="00C8371D" w:rsidRDefault="00C8371D" w:rsidP="00C8371D">
      <w:pPr>
        <w:spacing w:after="0" w:line="240" w:lineRule="auto"/>
        <w:rPr>
          <w:rFonts w:cs="Times New Roman"/>
          <w:sz w:val="20"/>
          <w:szCs w:val="20"/>
          <w:lang w:val="en-US"/>
        </w:rPr>
      </w:pPr>
    </w:p>
    <w:tbl>
      <w:tblPr>
        <w:tblStyle w:val="TableGrid"/>
        <w:tblW w:w="5000" w:type="pct"/>
        <w:tblBorders>
          <w:top w:val="single" w:sz="4" w:space="0" w:color="BFB97F"/>
          <w:left w:val="single" w:sz="4" w:space="0" w:color="BFB97F"/>
          <w:bottom w:val="single" w:sz="4" w:space="0" w:color="BFB97F"/>
          <w:right w:val="single" w:sz="4" w:space="0" w:color="BFB97F"/>
          <w:insideH w:val="single" w:sz="4" w:space="0" w:color="BFB97F"/>
          <w:insideV w:val="single" w:sz="4" w:space="0" w:color="BFB97F"/>
        </w:tblBorders>
        <w:tblLook w:val="04A0" w:firstRow="1" w:lastRow="0" w:firstColumn="1" w:lastColumn="0" w:noHBand="0" w:noVBand="1"/>
      </w:tblPr>
      <w:tblGrid>
        <w:gridCol w:w="3840"/>
        <w:gridCol w:w="5170"/>
      </w:tblGrid>
      <w:tr w:rsidR="00C8371D" w:rsidRPr="00C8371D" w:rsidTr="003B39BD">
        <w:trPr>
          <w:trHeight w:val="271"/>
          <w:tblHeader/>
        </w:trPr>
        <w:tc>
          <w:tcPr>
            <w:tcW w:w="2131" w:type="pct"/>
            <w:shd w:val="clear" w:color="auto" w:fill="BFB97F"/>
          </w:tcPr>
          <w:p w:rsidR="00C8371D" w:rsidRPr="00C8371D" w:rsidRDefault="00C8371D" w:rsidP="00C8371D">
            <w:pPr>
              <w:tabs>
                <w:tab w:val="left" w:pos="2160"/>
              </w:tabs>
              <w:spacing w:before="60" w:after="60"/>
              <w:ind w:left="2160" w:hanging="2160"/>
              <w:jc w:val="left"/>
              <w:rPr>
                <w:b/>
                <w:bCs/>
                <w:lang w:val="en-US"/>
              </w:rPr>
            </w:pPr>
            <w:r w:rsidRPr="00C8371D">
              <w:rPr>
                <w:b/>
                <w:bCs/>
                <w:lang w:val="en-US"/>
              </w:rPr>
              <w:t>Criteria</w:t>
            </w:r>
          </w:p>
        </w:tc>
        <w:tc>
          <w:tcPr>
            <w:tcW w:w="2869" w:type="pct"/>
            <w:shd w:val="clear" w:color="auto" w:fill="BFB97F"/>
          </w:tcPr>
          <w:p w:rsidR="00C8371D" w:rsidRPr="00C8371D" w:rsidRDefault="00C8371D" w:rsidP="00C8371D">
            <w:pPr>
              <w:tabs>
                <w:tab w:val="left" w:pos="2160"/>
              </w:tabs>
              <w:spacing w:before="60" w:after="60"/>
              <w:ind w:left="2160" w:hanging="2160"/>
              <w:jc w:val="left"/>
              <w:rPr>
                <w:b/>
                <w:bCs/>
                <w:lang w:val="en-US"/>
              </w:rPr>
            </w:pPr>
            <w:r w:rsidRPr="00C8371D">
              <w:rPr>
                <w:b/>
                <w:bCs/>
                <w:lang w:val="en-US"/>
              </w:rPr>
              <w:t>Guidance</w:t>
            </w:r>
          </w:p>
        </w:tc>
      </w:tr>
      <w:tr w:rsidR="00C8371D" w:rsidRPr="00C8371D" w:rsidTr="003B39BD">
        <w:trPr>
          <w:trHeight w:val="1545"/>
        </w:trPr>
        <w:tc>
          <w:tcPr>
            <w:tcW w:w="2131" w:type="pct"/>
          </w:tcPr>
          <w:p w:rsidR="00C8371D" w:rsidRPr="00C8371D" w:rsidRDefault="00C8371D" w:rsidP="00F54F68">
            <w:pPr>
              <w:numPr>
                <w:ilvl w:val="0"/>
                <w:numId w:val="9"/>
              </w:numPr>
              <w:spacing w:after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There is a </w:t>
            </w:r>
            <w:r w:rsidR="00F54F68">
              <w:rPr>
                <w:rFonts w:cs="Times New Roman"/>
                <w:sz w:val="20"/>
                <w:szCs w:val="20"/>
                <w:lang w:val="en-US"/>
              </w:rPr>
              <w:t>v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alidated </w:t>
            </w:r>
            <w:r w:rsidR="00F54F68">
              <w:rPr>
                <w:rFonts w:cs="Times New Roman"/>
                <w:sz w:val="20"/>
                <w:szCs w:val="20"/>
                <w:lang w:val="en-US"/>
              </w:rPr>
              <w:t>p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atient </w:t>
            </w:r>
            <w:r w:rsidR="00F54F68">
              <w:rPr>
                <w:rFonts w:cs="Times New Roman"/>
                <w:sz w:val="20"/>
                <w:szCs w:val="20"/>
                <w:lang w:val="en-US"/>
              </w:rPr>
              <w:t>a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cuity </w:t>
            </w:r>
            <w:r w:rsidR="00F54F68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>ommittee that is effective and operational.</w:t>
            </w:r>
          </w:p>
        </w:tc>
        <w:tc>
          <w:tcPr>
            <w:tcW w:w="2869" w:type="pct"/>
            <w:shd w:val="clear" w:color="auto" w:fill="E6E4CC"/>
          </w:tcPr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The </w:t>
            </w:r>
            <w:r w:rsidR="00F54F68">
              <w:rPr>
                <w:i/>
                <w:sz w:val="20"/>
                <w:szCs w:val="20"/>
                <w:lang w:val="en-US"/>
              </w:rPr>
              <w:t>c</w:t>
            </w:r>
            <w:r w:rsidRPr="00C8371D">
              <w:rPr>
                <w:i/>
                <w:sz w:val="20"/>
                <w:szCs w:val="20"/>
                <w:lang w:val="en-US"/>
              </w:rPr>
              <w:t>ommittee meets according to its documented terms of reference.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The </w:t>
            </w:r>
            <w:r w:rsidR="00F54F68">
              <w:rPr>
                <w:i/>
                <w:sz w:val="20"/>
                <w:szCs w:val="20"/>
                <w:lang w:val="en-US"/>
              </w:rPr>
              <w:t>c</w:t>
            </w:r>
            <w:r w:rsidRPr="00C8371D">
              <w:rPr>
                <w:i/>
                <w:sz w:val="20"/>
                <w:szCs w:val="20"/>
                <w:lang w:val="en-US"/>
              </w:rPr>
              <w:t>ommittee has accountability, authority and responsibility for ensuring the vendor ‘gold standards’ are met.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Meeting minutes include evidence of regular review of data integrity and accuracy.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Minutes show 80% attendance of listed parties.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There is a formalised and agreed annual </w:t>
            </w:r>
            <w:r w:rsidR="00162B35">
              <w:rPr>
                <w:i/>
                <w:sz w:val="20"/>
                <w:szCs w:val="20"/>
                <w:lang w:val="en-US"/>
              </w:rPr>
              <w:t>workp</w:t>
            </w:r>
            <w:r w:rsidRPr="00C8371D">
              <w:rPr>
                <w:i/>
                <w:sz w:val="20"/>
                <w:szCs w:val="20"/>
                <w:lang w:val="en-US"/>
              </w:rPr>
              <w:t>lan reviewed at each meeting.</w:t>
            </w:r>
          </w:p>
          <w:p w:rsidR="00C8371D" w:rsidRPr="00C8371D" w:rsidRDefault="00C8371D" w:rsidP="00F54F68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Escalation of issues from the </w:t>
            </w:r>
            <w:r w:rsidR="00F54F68">
              <w:rPr>
                <w:i/>
                <w:sz w:val="20"/>
                <w:szCs w:val="20"/>
                <w:lang w:val="en-US"/>
              </w:rPr>
              <w:t>c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ommittee to the CCDM </w:t>
            </w:r>
            <w:r w:rsidR="00D55472">
              <w:rPr>
                <w:i/>
                <w:sz w:val="20"/>
                <w:szCs w:val="20"/>
                <w:lang w:val="en-US"/>
              </w:rPr>
              <w:t>c</w:t>
            </w:r>
            <w:r w:rsidRPr="00C8371D">
              <w:rPr>
                <w:i/>
                <w:sz w:val="20"/>
                <w:szCs w:val="20"/>
                <w:lang w:val="en-US"/>
              </w:rPr>
              <w:t>ouncil occurs when needed.</w:t>
            </w:r>
          </w:p>
        </w:tc>
      </w:tr>
      <w:tr w:rsidR="00C8371D" w:rsidRPr="00C8371D" w:rsidTr="003B39BD">
        <w:trPr>
          <w:trHeight w:val="1106"/>
        </w:trPr>
        <w:tc>
          <w:tcPr>
            <w:tcW w:w="2131" w:type="pct"/>
          </w:tcPr>
          <w:p w:rsidR="00C8371D" w:rsidRPr="00C8371D" w:rsidRDefault="00C8371D" w:rsidP="00C8371D">
            <w:pPr>
              <w:numPr>
                <w:ilvl w:val="0"/>
                <w:numId w:val="9"/>
              </w:numPr>
              <w:spacing w:after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sz w:val="20"/>
                <w:szCs w:val="20"/>
                <w:lang w:val="en-US"/>
              </w:rPr>
              <w:t>There is dedicated coordinator FTE for managing the validated patient acuity system.</w:t>
            </w:r>
          </w:p>
        </w:tc>
        <w:tc>
          <w:tcPr>
            <w:tcW w:w="2869" w:type="pct"/>
            <w:shd w:val="clear" w:color="auto" w:fill="E6E4CC"/>
          </w:tcPr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The coordinator is suitably qualified and knowledgeable about the validated patient acuity system use and functionality.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The dedicated coordinator FTE is relative to the organisation’s size and sufficient to be effective in the role.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Regular quality audits are undertaken and reported to the </w:t>
            </w:r>
            <w:r w:rsidR="00F54F68">
              <w:rPr>
                <w:i/>
                <w:sz w:val="20"/>
                <w:szCs w:val="20"/>
                <w:lang w:val="en-US"/>
              </w:rPr>
              <w:t>c</w:t>
            </w:r>
            <w:r w:rsidRPr="00C8371D">
              <w:rPr>
                <w:i/>
                <w:sz w:val="20"/>
                <w:szCs w:val="20"/>
                <w:lang w:val="en-US"/>
              </w:rPr>
              <w:t>ommittee.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Staff training and education is scheduled, delivered and evaluated.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System maintenance occurs as required to meet the business needs.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System upgrades are planned and coordinated effectively.</w:t>
            </w:r>
          </w:p>
        </w:tc>
      </w:tr>
      <w:tr w:rsidR="00C8371D" w:rsidRPr="00C8371D" w:rsidTr="003B39BD">
        <w:trPr>
          <w:trHeight w:val="545"/>
        </w:trPr>
        <w:tc>
          <w:tcPr>
            <w:tcW w:w="2131" w:type="pct"/>
          </w:tcPr>
          <w:p w:rsidR="00C8371D" w:rsidRPr="00C8371D" w:rsidRDefault="00C8371D" w:rsidP="00C8371D">
            <w:pPr>
              <w:numPr>
                <w:ilvl w:val="0"/>
                <w:numId w:val="9"/>
              </w:numPr>
              <w:spacing w:after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sz w:val="20"/>
                <w:szCs w:val="20"/>
                <w:lang w:val="en-US"/>
              </w:rPr>
              <w:t>The patient acuity system is supported and prioritised as a critical ‘service delivery’ IT system.</w:t>
            </w:r>
          </w:p>
        </w:tc>
        <w:tc>
          <w:tcPr>
            <w:tcW w:w="2869" w:type="pct"/>
            <w:shd w:val="clear" w:color="auto" w:fill="E6E4CC"/>
          </w:tcPr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System upgrades are scheduled and resourced.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System upgrades are installed within 3 months of release from the vendor.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The system effectively interfaces with other DHB IT systems e.g. roster, patient management system.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Electronic display of patient acuity data is supported by IT expertise.</w:t>
            </w:r>
          </w:p>
        </w:tc>
      </w:tr>
      <w:tr w:rsidR="00C8371D" w:rsidRPr="00C8371D" w:rsidTr="003B39BD">
        <w:trPr>
          <w:trHeight w:val="1080"/>
        </w:trPr>
        <w:tc>
          <w:tcPr>
            <w:tcW w:w="2131" w:type="pct"/>
          </w:tcPr>
          <w:p w:rsidR="00C8371D" w:rsidRPr="00C8371D" w:rsidRDefault="00C8371D" w:rsidP="00C8371D">
            <w:pPr>
              <w:numPr>
                <w:ilvl w:val="0"/>
                <w:numId w:val="9"/>
              </w:numPr>
              <w:spacing w:after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sz w:val="20"/>
                <w:szCs w:val="20"/>
                <w:lang w:val="en-US"/>
              </w:rPr>
              <w:t>There are processes in place to ensure the validated patient acuity system is used accurately and consistently.</w:t>
            </w:r>
          </w:p>
        </w:tc>
        <w:tc>
          <w:tcPr>
            <w:tcW w:w="2869" w:type="pct"/>
            <w:shd w:val="clear" w:color="auto" w:fill="E6E4CC"/>
          </w:tcPr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Assessment against the vendor standards occurs annually by the </w:t>
            </w:r>
            <w:r w:rsidR="00F54F68">
              <w:rPr>
                <w:i/>
                <w:sz w:val="20"/>
                <w:szCs w:val="20"/>
                <w:lang w:val="en-US"/>
              </w:rPr>
              <w:t>c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ommittee and results are reported to the </w:t>
            </w:r>
            <w:r w:rsidR="00D55472">
              <w:rPr>
                <w:i/>
                <w:sz w:val="20"/>
                <w:szCs w:val="20"/>
                <w:lang w:val="en-US"/>
              </w:rPr>
              <w:t>CCDM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 council.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There is 100% attainment of the vendor standards for the components of the validated acuity system in use.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All staff receive training at induction and updates as required.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Inter-rater reliability is tested at least annually for all staff using the system.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The HPPD by patient type/category is checked 6-12 monthly against benchmarks.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lastRenderedPageBreak/>
              <w:t>The worked roster is accurately recorded in the system.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Line managers monitor data accuracy; daily, weekly and monthly. 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Line managers’ report on patient acuity data monthly.</w:t>
            </w:r>
          </w:p>
          <w:p w:rsidR="00C8371D" w:rsidRPr="00C8371D" w:rsidRDefault="00C8371D" w:rsidP="00F54F68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Results of audits are reported at each </w:t>
            </w:r>
            <w:r w:rsidR="00F54F68">
              <w:rPr>
                <w:i/>
                <w:sz w:val="20"/>
                <w:szCs w:val="20"/>
                <w:lang w:val="en-US"/>
              </w:rPr>
              <w:t>c</w:t>
            </w:r>
            <w:r w:rsidRPr="00C8371D">
              <w:rPr>
                <w:i/>
                <w:sz w:val="20"/>
                <w:szCs w:val="20"/>
                <w:lang w:val="en-US"/>
              </w:rPr>
              <w:t>ommittee meeting.</w:t>
            </w:r>
          </w:p>
        </w:tc>
      </w:tr>
      <w:tr w:rsidR="00C8371D" w:rsidRPr="00C8371D" w:rsidTr="003B39BD">
        <w:trPr>
          <w:trHeight w:val="1080"/>
        </w:trPr>
        <w:tc>
          <w:tcPr>
            <w:tcW w:w="2131" w:type="pct"/>
          </w:tcPr>
          <w:p w:rsidR="00C8371D" w:rsidRPr="00C8371D" w:rsidRDefault="00C8371D" w:rsidP="00F54F68">
            <w:pPr>
              <w:numPr>
                <w:ilvl w:val="0"/>
                <w:numId w:val="9"/>
              </w:numPr>
              <w:spacing w:after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sz w:val="20"/>
                <w:szCs w:val="20"/>
                <w:lang w:val="en-US"/>
              </w:rPr>
              <w:lastRenderedPageBreak/>
              <w:t xml:space="preserve">Business </w:t>
            </w:r>
            <w:r w:rsidR="00F54F68">
              <w:rPr>
                <w:rFonts w:cs="Times New Roman"/>
                <w:sz w:val="20"/>
                <w:szCs w:val="20"/>
                <w:lang w:val="en-US"/>
              </w:rPr>
              <w:t>r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>ules are clearly defined and in use to ensure consistent use of the system.</w:t>
            </w:r>
          </w:p>
        </w:tc>
        <w:tc>
          <w:tcPr>
            <w:tcW w:w="2869" w:type="pct"/>
            <w:shd w:val="clear" w:color="auto" w:fill="E6E4CC"/>
          </w:tcPr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There are documented and agreed business rules that are reviewed annually.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There is evidence that the business rules are applied in practice.</w:t>
            </w:r>
          </w:p>
        </w:tc>
      </w:tr>
      <w:tr w:rsidR="00C8371D" w:rsidRPr="00C8371D" w:rsidTr="003B39BD">
        <w:trPr>
          <w:trHeight w:val="1080"/>
        </w:trPr>
        <w:tc>
          <w:tcPr>
            <w:tcW w:w="2131" w:type="pct"/>
          </w:tcPr>
          <w:p w:rsidR="00C8371D" w:rsidRPr="00C8371D" w:rsidRDefault="00C8371D" w:rsidP="00C8371D">
            <w:pPr>
              <w:numPr>
                <w:ilvl w:val="0"/>
                <w:numId w:val="9"/>
              </w:numPr>
              <w:spacing w:after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sz w:val="20"/>
                <w:szCs w:val="20"/>
                <w:lang w:val="en-US"/>
              </w:rPr>
              <w:t>Validated patient acuity data is utilised in daily operational and annual planning activities.</w:t>
            </w:r>
          </w:p>
        </w:tc>
        <w:tc>
          <w:tcPr>
            <w:tcW w:w="2869" w:type="pct"/>
            <w:shd w:val="clear" w:color="auto" w:fill="E6E4CC"/>
          </w:tcPr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Acuit</w:t>
            </w:r>
            <w:r w:rsidR="00C70E88">
              <w:rPr>
                <w:i/>
                <w:sz w:val="20"/>
                <w:szCs w:val="20"/>
                <w:lang w:val="en-US"/>
              </w:rPr>
              <w:t>y measures are included in the core d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ata </w:t>
            </w:r>
            <w:r w:rsidR="00C70E88">
              <w:rPr>
                <w:i/>
                <w:sz w:val="20"/>
                <w:szCs w:val="20"/>
                <w:lang w:val="en-US"/>
              </w:rPr>
              <w:t>set and reported from the f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loor to </w:t>
            </w:r>
            <w:r w:rsidR="00C70E88">
              <w:rPr>
                <w:i/>
                <w:sz w:val="20"/>
                <w:szCs w:val="20"/>
                <w:lang w:val="en-US"/>
              </w:rPr>
              <w:t>the B</w:t>
            </w:r>
            <w:r w:rsidRPr="00C8371D">
              <w:rPr>
                <w:i/>
                <w:sz w:val="20"/>
                <w:szCs w:val="20"/>
                <w:lang w:val="en-US"/>
              </w:rPr>
              <w:t>oard.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Validated patient acuity forms the basis of the daily operations meeting and variance response management.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Validated patient acuity data is used for forecasting and the staffing methodology.</w:t>
            </w:r>
          </w:p>
        </w:tc>
      </w:tr>
    </w:tbl>
    <w:p w:rsidR="00C8371D" w:rsidRPr="00C8371D" w:rsidRDefault="00C8371D" w:rsidP="00C8371D">
      <w:pPr>
        <w:jc w:val="left"/>
        <w:rPr>
          <w:lang w:val="en-US"/>
        </w:rPr>
      </w:pPr>
    </w:p>
    <w:p w:rsidR="00C8371D" w:rsidRPr="00C8371D" w:rsidRDefault="00C8371D" w:rsidP="00C8371D">
      <w:pPr>
        <w:jc w:val="left"/>
        <w:rPr>
          <w:noProof/>
          <w:lang w:eastAsia="en-NZ"/>
        </w:rPr>
      </w:pPr>
    </w:p>
    <w:p w:rsidR="00C8371D" w:rsidRPr="00C8371D" w:rsidRDefault="00C8371D" w:rsidP="00C8371D">
      <w:pPr>
        <w:spacing w:after="0" w:line="240" w:lineRule="auto"/>
        <w:jc w:val="left"/>
        <w:rPr>
          <w:rFonts w:eastAsiaTheme="majorEastAsia" w:cs="Calibri"/>
          <w:bCs/>
          <w:color w:val="A79F53"/>
          <w:sz w:val="44"/>
          <w:szCs w:val="32"/>
          <w:lang w:val="en-US"/>
        </w:rPr>
      </w:pPr>
      <w:r w:rsidRPr="00C8371D">
        <w:rPr>
          <w:lang w:val="en-US"/>
        </w:rPr>
        <w:br w:type="page"/>
      </w:r>
    </w:p>
    <w:p w:rsidR="00C8371D" w:rsidRPr="00C8371D" w:rsidRDefault="00C8371D" w:rsidP="00C8371D">
      <w:pPr>
        <w:keepNext/>
        <w:keepLines/>
        <w:spacing w:before="240" w:line="240" w:lineRule="auto"/>
        <w:jc w:val="left"/>
        <w:outlineLvl w:val="0"/>
        <w:rPr>
          <w:rFonts w:eastAsiaTheme="majorEastAsia" w:cs="Calibri"/>
          <w:bCs/>
          <w:color w:val="A79F53"/>
          <w:sz w:val="40"/>
          <w:szCs w:val="32"/>
          <w:lang w:val="en-US"/>
        </w:rPr>
      </w:pPr>
      <w:r w:rsidRPr="00C8371D">
        <w:rPr>
          <w:rFonts w:eastAsiaTheme="majorEastAsia" w:cs="Calibri"/>
          <w:bCs/>
          <w:color w:val="A79F53"/>
          <w:sz w:val="40"/>
          <w:szCs w:val="32"/>
          <w:lang w:val="en-US"/>
        </w:rPr>
        <w:lastRenderedPageBreak/>
        <w:t xml:space="preserve">Standard 3 – Core </w:t>
      </w:r>
      <w:r w:rsidR="00C70E88">
        <w:rPr>
          <w:rFonts w:eastAsiaTheme="majorEastAsia" w:cs="Calibri"/>
          <w:bCs/>
          <w:color w:val="A79F53"/>
          <w:sz w:val="40"/>
          <w:szCs w:val="32"/>
          <w:lang w:val="en-US"/>
        </w:rPr>
        <w:t>d</w:t>
      </w:r>
      <w:r w:rsidRPr="00C8371D">
        <w:rPr>
          <w:rFonts w:eastAsiaTheme="majorEastAsia" w:cs="Calibri"/>
          <w:bCs/>
          <w:color w:val="A79F53"/>
          <w:sz w:val="40"/>
          <w:szCs w:val="32"/>
          <w:lang w:val="en-US"/>
        </w:rPr>
        <w:t xml:space="preserve">ata </w:t>
      </w:r>
      <w:r w:rsidR="00C70E88">
        <w:rPr>
          <w:rFonts w:eastAsiaTheme="majorEastAsia" w:cs="Calibri"/>
          <w:bCs/>
          <w:color w:val="A79F53"/>
          <w:sz w:val="40"/>
          <w:szCs w:val="32"/>
          <w:lang w:val="en-US"/>
        </w:rPr>
        <w:t>s</w:t>
      </w:r>
      <w:r w:rsidRPr="00C8371D">
        <w:rPr>
          <w:rFonts w:eastAsiaTheme="majorEastAsia" w:cs="Calibri"/>
          <w:bCs/>
          <w:color w:val="A79F53"/>
          <w:sz w:val="40"/>
          <w:szCs w:val="32"/>
          <w:lang w:val="en-US"/>
        </w:rPr>
        <w:t xml:space="preserve">et </w:t>
      </w:r>
    </w:p>
    <w:tbl>
      <w:tblPr>
        <w:tblStyle w:val="TableGrid"/>
        <w:tblW w:w="0" w:type="auto"/>
        <w:tblBorders>
          <w:top w:val="single" w:sz="4" w:space="0" w:color="BFB97F"/>
          <w:left w:val="single" w:sz="4" w:space="0" w:color="BFB97F"/>
          <w:bottom w:val="single" w:sz="4" w:space="0" w:color="BFB97F"/>
          <w:right w:val="single" w:sz="4" w:space="0" w:color="BFB97F"/>
          <w:insideH w:val="single" w:sz="4" w:space="0" w:color="BFB97F"/>
          <w:insideV w:val="single" w:sz="4" w:space="0" w:color="BFB97F"/>
        </w:tblBorders>
        <w:shd w:val="clear" w:color="auto" w:fill="BFB97F"/>
        <w:tblLook w:val="04A0" w:firstRow="1" w:lastRow="0" w:firstColumn="1" w:lastColumn="0" w:noHBand="0" w:noVBand="1"/>
      </w:tblPr>
      <w:tblGrid>
        <w:gridCol w:w="9010"/>
      </w:tblGrid>
      <w:tr w:rsidR="00C8371D" w:rsidRPr="00C8371D" w:rsidTr="003B39BD">
        <w:trPr>
          <w:tblHeader/>
        </w:trPr>
        <w:tc>
          <w:tcPr>
            <w:tcW w:w="14174" w:type="dxa"/>
            <w:shd w:val="clear" w:color="auto" w:fill="BFB97F"/>
          </w:tcPr>
          <w:p w:rsidR="00C8371D" w:rsidRPr="00C8371D" w:rsidRDefault="00C8371D" w:rsidP="00C8371D">
            <w:pPr>
              <w:tabs>
                <w:tab w:val="left" w:pos="2160"/>
              </w:tabs>
              <w:spacing w:before="60" w:after="60"/>
              <w:ind w:left="2160" w:hanging="2160"/>
              <w:jc w:val="left"/>
              <w:rPr>
                <w:b/>
                <w:bCs/>
                <w:lang w:val="en-US"/>
              </w:rPr>
            </w:pPr>
            <w:r w:rsidRPr="00C8371D">
              <w:rPr>
                <w:b/>
                <w:bCs/>
                <w:lang w:val="en-US"/>
              </w:rPr>
              <w:t>Standard 3.0</w:t>
            </w:r>
          </w:p>
          <w:p w:rsidR="00C8371D" w:rsidRPr="00C8371D" w:rsidRDefault="00C8371D" w:rsidP="00C8371D">
            <w:pPr>
              <w:jc w:val="left"/>
              <w:rPr>
                <w:lang w:val="en-US"/>
              </w:rPr>
            </w:pPr>
            <w:r w:rsidRPr="00C8371D">
              <w:rPr>
                <w:lang w:val="en-US"/>
              </w:rPr>
              <w:t>The organisation uses a balanced set of CCDM measures (</w:t>
            </w:r>
            <w:r w:rsidR="00C70E88">
              <w:rPr>
                <w:lang w:val="en-US"/>
              </w:rPr>
              <w:t>c</w:t>
            </w:r>
            <w:r w:rsidRPr="00C8371D">
              <w:rPr>
                <w:lang w:val="en-US"/>
              </w:rPr>
              <w:t xml:space="preserve">ore </w:t>
            </w:r>
            <w:r w:rsidR="00C70E88">
              <w:rPr>
                <w:lang w:val="en-US"/>
              </w:rPr>
              <w:t>d</w:t>
            </w:r>
            <w:r w:rsidRPr="00C8371D">
              <w:rPr>
                <w:lang w:val="en-US"/>
              </w:rPr>
              <w:t xml:space="preserve">ata </w:t>
            </w:r>
            <w:r w:rsidR="00C70E88">
              <w:rPr>
                <w:lang w:val="en-US"/>
              </w:rPr>
              <w:t>s</w:t>
            </w:r>
            <w:r w:rsidRPr="00C8371D">
              <w:rPr>
                <w:lang w:val="en-US"/>
              </w:rPr>
              <w:t>et) to evaluate the effectiveness of care capacity and demand management overtime and to make improvements.</w:t>
            </w:r>
          </w:p>
          <w:p w:rsidR="00C8371D" w:rsidRPr="00C8371D" w:rsidRDefault="00C8371D" w:rsidP="00C8371D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C8371D" w:rsidRPr="00C8371D" w:rsidRDefault="00C8371D" w:rsidP="00C8371D">
      <w:pPr>
        <w:spacing w:after="0" w:line="240" w:lineRule="auto"/>
        <w:rPr>
          <w:rFonts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single" w:sz="4" w:space="0" w:color="BFB97F"/>
          <w:left w:val="single" w:sz="4" w:space="0" w:color="BFB97F"/>
          <w:bottom w:val="single" w:sz="4" w:space="0" w:color="BFB97F"/>
          <w:right w:val="single" w:sz="4" w:space="0" w:color="BFB97F"/>
          <w:insideH w:val="single" w:sz="4" w:space="0" w:color="BFB97F"/>
          <w:insideV w:val="single" w:sz="4" w:space="0" w:color="BFB97F"/>
        </w:tblBorders>
        <w:tblLook w:val="04A0" w:firstRow="1" w:lastRow="0" w:firstColumn="1" w:lastColumn="0" w:noHBand="0" w:noVBand="1"/>
      </w:tblPr>
      <w:tblGrid>
        <w:gridCol w:w="3844"/>
        <w:gridCol w:w="5166"/>
      </w:tblGrid>
      <w:tr w:rsidR="00C8371D" w:rsidRPr="00C8371D" w:rsidTr="003B39BD">
        <w:tc>
          <w:tcPr>
            <w:tcW w:w="3936" w:type="dxa"/>
            <w:shd w:val="clear" w:color="auto" w:fill="BFB97F"/>
          </w:tcPr>
          <w:p w:rsidR="00C8371D" w:rsidRPr="00C8371D" w:rsidRDefault="00C8371D" w:rsidP="00C8371D">
            <w:pPr>
              <w:tabs>
                <w:tab w:val="left" w:pos="2160"/>
              </w:tabs>
              <w:spacing w:before="60" w:after="60"/>
              <w:ind w:left="2880" w:hanging="2880"/>
              <w:jc w:val="left"/>
              <w:rPr>
                <w:b/>
                <w:bCs/>
                <w:lang w:val="en-US"/>
              </w:rPr>
            </w:pPr>
            <w:r w:rsidRPr="00C8371D">
              <w:rPr>
                <w:b/>
                <w:bCs/>
                <w:lang w:val="en-US"/>
              </w:rPr>
              <w:t>Criteria</w:t>
            </w:r>
          </w:p>
        </w:tc>
        <w:tc>
          <w:tcPr>
            <w:tcW w:w="5300" w:type="dxa"/>
            <w:shd w:val="clear" w:color="auto" w:fill="BFB97F"/>
          </w:tcPr>
          <w:p w:rsidR="00C8371D" w:rsidRPr="00C8371D" w:rsidRDefault="00C8371D" w:rsidP="00C8371D">
            <w:pPr>
              <w:tabs>
                <w:tab w:val="left" w:pos="2160"/>
              </w:tabs>
              <w:spacing w:before="60" w:after="60"/>
              <w:ind w:left="2160" w:hanging="2160"/>
              <w:jc w:val="left"/>
              <w:rPr>
                <w:b/>
                <w:bCs/>
                <w:lang w:val="en-US"/>
              </w:rPr>
            </w:pPr>
            <w:r w:rsidRPr="00C8371D">
              <w:rPr>
                <w:b/>
                <w:bCs/>
                <w:lang w:val="en-US"/>
              </w:rPr>
              <w:t>Guidance</w:t>
            </w:r>
          </w:p>
        </w:tc>
      </w:tr>
      <w:tr w:rsidR="00C8371D" w:rsidRPr="00C8371D" w:rsidTr="003B39BD">
        <w:tc>
          <w:tcPr>
            <w:tcW w:w="3936" w:type="dxa"/>
          </w:tcPr>
          <w:p w:rsidR="00C8371D" w:rsidRPr="00C8371D" w:rsidRDefault="00C8371D" w:rsidP="00C70E88">
            <w:pPr>
              <w:numPr>
                <w:ilvl w:val="0"/>
                <w:numId w:val="11"/>
              </w:numPr>
              <w:spacing w:after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The </w:t>
            </w:r>
            <w:r w:rsidR="00D55472">
              <w:rPr>
                <w:rFonts w:cs="Times New Roman"/>
                <w:sz w:val="20"/>
                <w:szCs w:val="20"/>
                <w:lang w:val="en-US"/>
              </w:rPr>
              <w:t>CCDM c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ouncil has the authority, accountability and responsibility for setting, implementing and monitoring the </w:t>
            </w:r>
            <w:r w:rsidR="00C70E88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ore </w:t>
            </w:r>
            <w:r w:rsidR="00C70E88">
              <w:rPr>
                <w:rFonts w:cs="Times New Roman"/>
                <w:sz w:val="20"/>
                <w:szCs w:val="20"/>
                <w:lang w:val="en-US"/>
              </w:rPr>
              <w:t>d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ata </w:t>
            </w:r>
            <w:r w:rsidR="00C70E88">
              <w:rPr>
                <w:rFonts w:cs="Times New Roman"/>
                <w:sz w:val="20"/>
                <w:szCs w:val="20"/>
                <w:lang w:val="en-US"/>
              </w:rPr>
              <w:t>s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>et.</w:t>
            </w:r>
          </w:p>
        </w:tc>
        <w:tc>
          <w:tcPr>
            <w:tcW w:w="5300" w:type="dxa"/>
            <w:shd w:val="clear" w:color="auto" w:fill="E6E4CC"/>
          </w:tcPr>
          <w:p w:rsidR="00C8371D" w:rsidRPr="00C70E88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70E88">
              <w:rPr>
                <w:i/>
                <w:sz w:val="20"/>
                <w:szCs w:val="20"/>
                <w:lang w:val="en-US"/>
              </w:rPr>
              <w:t xml:space="preserve">The DHB has an agreed </w:t>
            </w:r>
            <w:r w:rsidR="00C70E88" w:rsidRPr="00C70E88">
              <w:rPr>
                <w:i/>
                <w:sz w:val="20"/>
                <w:szCs w:val="20"/>
                <w:lang w:val="en-US"/>
              </w:rPr>
              <w:t>c</w:t>
            </w:r>
            <w:r w:rsidRPr="00C70E88">
              <w:rPr>
                <w:i/>
                <w:sz w:val="20"/>
                <w:szCs w:val="20"/>
                <w:lang w:val="en-US"/>
              </w:rPr>
              <w:t xml:space="preserve">ore </w:t>
            </w:r>
            <w:r w:rsidR="00C70E88" w:rsidRPr="00C70E88">
              <w:rPr>
                <w:i/>
                <w:sz w:val="20"/>
                <w:szCs w:val="20"/>
                <w:lang w:val="en-US"/>
              </w:rPr>
              <w:t>d</w:t>
            </w:r>
            <w:r w:rsidRPr="00C70E88">
              <w:rPr>
                <w:i/>
                <w:sz w:val="20"/>
                <w:szCs w:val="20"/>
                <w:lang w:val="en-US"/>
              </w:rPr>
              <w:t xml:space="preserve">ata </w:t>
            </w:r>
            <w:r w:rsidR="00C70E88" w:rsidRPr="00C70E88">
              <w:rPr>
                <w:i/>
                <w:sz w:val="20"/>
                <w:szCs w:val="20"/>
                <w:lang w:val="en-US"/>
              </w:rPr>
              <w:t>s</w:t>
            </w:r>
            <w:r w:rsidRPr="00C70E88">
              <w:rPr>
                <w:i/>
                <w:sz w:val="20"/>
                <w:szCs w:val="20"/>
                <w:lang w:val="en-US"/>
              </w:rPr>
              <w:t>et.</w:t>
            </w:r>
          </w:p>
          <w:p w:rsidR="00C8371D" w:rsidRPr="00C70E88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70E88">
              <w:rPr>
                <w:i/>
                <w:sz w:val="20"/>
                <w:szCs w:val="20"/>
                <w:lang w:val="en-US"/>
              </w:rPr>
              <w:t xml:space="preserve">Policies and procedures define the measures, tolerances and describe the process for reporting. </w:t>
            </w:r>
          </w:p>
          <w:p w:rsidR="00C8371D" w:rsidRPr="00C70E88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70E88">
              <w:rPr>
                <w:i/>
                <w:sz w:val="20"/>
                <w:szCs w:val="20"/>
                <w:lang w:val="en-US"/>
              </w:rPr>
              <w:t xml:space="preserve">The </w:t>
            </w:r>
            <w:r w:rsidR="00C70E88" w:rsidRPr="00C70E88">
              <w:rPr>
                <w:rFonts w:cs="Times New Roman"/>
                <w:i/>
                <w:sz w:val="20"/>
                <w:szCs w:val="20"/>
                <w:lang w:val="en-US"/>
              </w:rPr>
              <w:t>core data set</w:t>
            </w:r>
            <w:r w:rsidR="00C70E88" w:rsidRPr="00C70E88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70E88">
              <w:rPr>
                <w:i/>
                <w:sz w:val="20"/>
                <w:szCs w:val="20"/>
                <w:lang w:val="en-US"/>
              </w:rPr>
              <w:t xml:space="preserve">is centrally collected, collated and reviewed at each council meeting. </w:t>
            </w:r>
          </w:p>
          <w:p w:rsidR="00C8371D" w:rsidRPr="00C70E88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70E88">
              <w:rPr>
                <w:i/>
                <w:sz w:val="20"/>
                <w:szCs w:val="20"/>
                <w:lang w:val="en-US"/>
              </w:rPr>
              <w:t xml:space="preserve">The </w:t>
            </w:r>
            <w:r w:rsidR="00C70E88" w:rsidRPr="00C70E88">
              <w:rPr>
                <w:rFonts w:cs="Times New Roman"/>
                <w:i/>
                <w:sz w:val="20"/>
                <w:szCs w:val="20"/>
                <w:lang w:val="en-US"/>
              </w:rPr>
              <w:t>core data set</w:t>
            </w:r>
            <w:r w:rsidR="00C70E88" w:rsidRPr="00C70E88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70E88">
              <w:rPr>
                <w:i/>
                <w:sz w:val="20"/>
                <w:szCs w:val="20"/>
                <w:lang w:val="en-US"/>
              </w:rPr>
              <w:t>is aligned to the DHB strategic goals.</w:t>
            </w:r>
          </w:p>
          <w:p w:rsidR="00C8371D" w:rsidRPr="00C70E88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70E88">
              <w:rPr>
                <w:i/>
                <w:sz w:val="20"/>
                <w:szCs w:val="20"/>
                <w:lang w:val="en-US"/>
              </w:rPr>
              <w:t xml:space="preserve">Line managers from </w:t>
            </w:r>
            <w:r w:rsidR="00C70E88" w:rsidRPr="00C70E88">
              <w:rPr>
                <w:i/>
                <w:sz w:val="20"/>
                <w:szCs w:val="20"/>
                <w:lang w:val="en-US"/>
              </w:rPr>
              <w:t>the f</w:t>
            </w:r>
            <w:r w:rsidRPr="00C70E88">
              <w:rPr>
                <w:i/>
                <w:sz w:val="20"/>
                <w:szCs w:val="20"/>
                <w:lang w:val="en-US"/>
              </w:rPr>
              <w:t xml:space="preserve">loor to </w:t>
            </w:r>
            <w:r w:rsidR="00C70E88" w:rsidRPr="00C70E88">
              <w:rPr>
                <w:i/>
                <w:sz w:val="20"/>
                <w:szCs w:val="20"/>
                <w:lang w:val="en-US"/>
              </w:rPr>
              <w:t>the Board</w:t>
            </w:r>
            <w:r w:rsidRPr="00C70E88">
              <w:rPr>
                <w:i/>
                <w:sz w:val="20"/>
                <w:szCs w:val="20"/>
                <w:lang w:val="en-US"/>
              </w:rPr>
              <w:t xml:space="preserve"> have accountability for the measures in the </w:t>
            </w:r>
            <w:r w:rsidR="00C70E88" w:rsidRPr="00C70E88">
              <w:rPr>
                <w:rFonts w:cs="Times New Roman"/>
                <w:i/>
                <w:sz w:val="20"/>
                <w:szCs w:val="20"/>
                <w:lang w:val="en-US"/>
              </w:rPr>
              <w:t>core data set</w:t>
            </w:r>
            <w:r w:rsidRPr="00C70E88">
              <w:rPr>
                <w:i/>
                <w:sz w:val="20"/>
                <w:szCs w:val="20"/>
                <w:lang w:val="en-US"/>
              </w:rPr>
              <w:t xml:space="preserve">. 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70E88">
              <w:rPr>
                <w:i/>
                <w:sz w:val="20"/>
                <w:szCs w:val="20"/>
                <w:lang w:val="en-US"/>
              </w:rPr>
              <w:t xml:space="preserve">The </w:t>
            </w:r>
            <w:r w:rsidR="00C70E88" w:rsidRPr="00C70E88">
              <w:rPr>
                <w:rFonts w:cs="Times New Roman"/>
                <w:i/>
                <w:sz w:val="20"/>
                <w:szCs w:val="20"/>
                <w:lang w:val="en-US"/>
              </w:rPr>
              <w:t>core data set</w:t>
            </w:r>
            <w:r w:rsidR="00C70E88" w:rsidRPr="00C70E88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70E88">
              <w:rPr>
                <w:i/>
                <w:sz w:val="20"/>
                <w:szCs w:val="20"/>
                <w:lang w:val="en-US"/>
              </w:rPr>
              <w:t>informs decision-making and actions taken at all levels of the organisation.</w:t>
            </w:r>
          </w:p>
        </w:tc>
      </w:tr>
      <w:tr w:rsidR="00C8371D" w:rsidRPr="00C8371D" w:rsidTr="003B39BD">
        <w:tc>
          <w:tcPr>
            <w:tcW w:w="3936" w:type="dxa"/>
          </w:tcPr>
          <w:p w:rsidR="00C8371D" w:rsidRPr="00C8371D" w:rsidRDefault="00C8371D" w:rsidP="004579EA">
            <w:pPr>
              <w:numPr>
                <w:ilvl w:val="0"/>
                <w:numId w:val="11"/>
              </w:numPr>
              <w:spacing w:after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The </w:t>
            </w:r>
            <w:r w:rsidR="004579EA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ore </w:t>
            </w:r>
            <w:r w:rsidR="004579EA">
              <w:rPr>
                <w:rFonts w:cs="Times New Roman"/>
                <w:sz w:val="20"/>
                <w:szCs w:val="20"/>
                <w:lang w:val="en-US"/>
              </w:rPr>
              <w:t>d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ata </w:t>
            </w:r>
            <w:r w:rsidR="004579EA">
              <w:rPr>
                <w:rFonts w:cs="Times New Roman"/>
                <w:sz w:val="20"/>
                <w:szCs w:val="20"/>
                <w:lang w:val="en-US"/>
              </w:rPr>
              <w:t>s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>et is us</w:t>
            </w:r>
            <w:bookmarkStart w:id="0" w:name="_GoBack"/>
            <w:bookmarkEnd w:id="0"/>
            <w:r w:rsidRPr="00C8371D">
              <w:rPr>
                <w:rFonts w:cs="Times New Roman"/>
                <w:sz w:val="20"/>
                <w:szCs w:val="20"/>
                <w:lang w:val="en-US"/>
              </w:rPr>
              <w:t>ed to evaluate the effectiveness of care capacity demand management in the DHB and make improvements.</w:t>
            </w:r>
          </w:p>
        </w:tc>
        <w:tc>
          <w:tcPr>
            <w:tcW w:w="5300" w:type="dxa"/>
            <w:shd w:val="clear" w:color="auto" w:fill="E6E4CC"/>
          </w:tcPr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70E88">
              <w:rPr>
                <w:sz w:val="20"/>
                <w:szCs w:val="20"/>
                <w:lang w:val="en-US"/>
              </w:rPr>
              <w:t xml:space="preserve">The </w:t>
            </w:r>
            <w:r w:rsidR="00C70E88" w:rsidRPr="00C70E88">
              <w:rPr>
                <w:rFonts w:cs="Times New Roman"/>
                <w:i/>
                <w:sz w:val="20"/>
                <w:szCs w:val="20"/>
                <w:lang w:val="en-US"/>
              </w:rPr>
              <w:t>core data set</w:t>
            </w:r>
            <w:r w:rsidRPr="00C70E88">
              <w:rPr>
                <w:sz w:val="20"/>
                <w:szCs w:val="20"/>
                <w:lang w:val="en-US"/>
              </w:rPr>
              <w:t xml:space="preserve"> includes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 measures from all three sides of the CCDM Programme triangle:</w:t>
            </w:r>
          </w:p>
          <w:p w:rsidR="00C8371D" w:rsidRPr="00C8371D" w:rsidRDefault="00C8371D" w:rsidP="00C8371D">
            <w:pPr>
              <w:numPr>
                <w:ilvl w:val="0"/>
                <w:numId w:val="10"/>
              </w:numPr>
              <w:spacing w:after="0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Quality patient care</w:t>
            </w:r>
          </w:p>
          <w:p w:rsidR="00C8371D" w:rsidRPr="00C8371D" w:rsidRDefault="00C8371D" w:rsidP="00C8371D">
            <w:pPr>
              <w:numPr>
                <w:ilvl w:val="0"/>
                <w:numId w:val="10"/>
              </w:numPr>
              <w:spacing w:after="0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Quality work environment</w:t>
            </w:r>
          </w:p>
          <w:p w:rsidR="00C8371D" w:rsidRPr="00C8371D" w:rsidRDefault="00C8371D" w:rsidP="00C8371D">
            <w:pPr>
              <w:numPr>
                <w:ilvl w:val="0"/>
                <w:numId w:val="10"/>
              </w:numPr>
              <w:spacing w:after="0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Best use of health resources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The </w:t>
            </w:r>
            <w:r w:rsidR="00C70E88" w:rsidRPr="00C70E88">
              <w:rPr>
                <w:rFonts w:cs="Times New Roman"/>
                <w:i/>
                <w:sz w:val="20"/>
                <w:szCs w:val="20"/>
                <w:lang w:val="en-US"/>
              </w:rPr>
              <w:t>core data set</w:t>
            </w:r>
            <w:r w:rsidR="00C70E88" w:rsidRPr="00C70E88">
              <w:rPr>
                <w:sz w:val="20"/>
                <w:szCs w:val="20"/>
                <w:lang w:val="en-US"/>
              </w:rPr>
              <w:t xml:space="preserve"> 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includes all of the CCDM </w:t>
            </w:r>
            <w:r w:rsidR="00F54F68">
              <w:rPr>
                <w:i/>
                <w:sz w:val="20"/>
                <w:szCs w:val="20"/>
                <w:lang w:val="en-US"/>
              </w:rPr>
              <w:t>P</w:t>
            </w:r>
            <w:r w:rsidRPr="00C8371D">
              <w:rPr>
                <w:i/>
                <w:sz w:val="20"/>
                <w:szCs w:val="20"/>
                <w:lang w:val="en-US"/>
              </w:rPr>
              <w:t>rogramme measures.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Measures are trended over time and show improvement. 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Control charts are used to identify special cause variation.</w:t>
            </w:r>
          </w:p>
          <w:p w:rsidR="00C70E88" w:rsidRPr="00C70E88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There are appropriate resources to support the collation, analysis and presentation of the </w:t>
            </w:r>
            <w:r w:rsidR="00C70E88" w:rsidRPr="00C70E88">
              <w:rPr>
                <w:rFonts w:cs="Times New Roman"/>
                <w:i/>
                <w:sz w:val="20"/>
                <w:szCs w:val="20"/>
                <w:lang w:val="en-US"/>
              </w:rPr>
              <w:t>core data set</w:t>
            </w:r>
            <w:r w:rsidR="00C70E88">
              <w:rPr>
                <w:rFonts w:cs="Times New Roman"/>
                <w:i/>
                <w:sz w:val="20"/>
                <w:szCs w:val="20"/>
                <w:lang w:val="en-US"/>
              </w:rPr>
              <w:t>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Clinicians and managers work together to identify actions for improvement.</w:t>
            </w:r>
          </w:p>
        </w:tc>
      </w:tr>
      <w:tr w:rsidR="00C8371D" w:rsidRPr="00C8371D" w:rsidTr="003B39BD">
        <w:tc>
          <w:tcPr>
            <w:tcW w:w="3936" w:type="dxa"/>
          </w:tcPr>
          <w:p w:rsidR="00C8371D" w:rsidRPr="00C8371D" w:rsidRDefault="00C8371D" w:rsidP="00C70E88">
            <w:pPr>
              <w:numPr>
                <w:ilvl w:val="0"/>
                <w:numId w:val="11"/>
              </w:numPr>
              <w:spacing w:after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The </w:t>
            </w:r>
            <w:r w:rsidR="00C70E88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ore </w:t>
            </w:r>
            <w:r w:rsidR="00C70E88">
              <w:rPr>
                <w:rFonts w:cs="Times New Roman"/>
                <w:sz w:val="20"/>
                <w:szCs w:val="20"/>
                <w:lang w:val="en-US"/>
              </w:rPr>
              <w:t>d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ata </w:t>
            </w:r>
            <w:r w:rsidR="00C70E88">
              <w:rPr>
                <w:rFonts w:cs="Times New Roman"/>
                <w:sz w:val="20"/>
                <w:szCs w:val="20"/>
                <w:lang w:val="en-US"/>
              </w:rPr>
              <w:t>s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et is monitored, reported and actioned at ward/unit, directorate and hospital wide level. </w:t>
            </w:r>
          </w:p>
        </w:tc>
        <w:tc>
          <w:tcPr>
            <w:tcW w:w="5300" w:type="dxa"/>
            <w:shd w:val="clear" w:color="auto" w:fill="E6E4CC"/>
          </w:tcPr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Staff at all levels of the organisation can identify CCDM measures and how they are performing.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Measures are reported monthly from the </w:t>
            </w:r>
            <w:r w:rsidR="00F54F68">
              <w:rPr>
                <w:i/>
                <w:sz w:val="20"/>
                <w:szCs w:val="20"/>
                <w:lang w:val="en-US"/>
              </w:rPr>
              <w:t>floor to the Board</w:t>
            </w:r>
            <w:r w:rsidRPr="00C8371D">
              <w:rPr>
                <w:i/>
                <w:sz w:val="20"/>
                <w:szCs w:val="20"/>
                <w:lang w:val="en-US"/>
              </w:rPr>
              <w:t>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>CCDM measures are on the ward/unit staff meeting agenda.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Budget holders discuss the </w:t>
            </w:r>
            <w:r w:rsidR="00C70E88" w:rsidRPr="00C70E88">
              <w:rPr>
                <w:rFonts w:cs="Times New Roman"/>
                <w:i/>
                <w:sz w:val="20"/>
                <w:szCs w:val="20"/>
                <w:lang w:val="en-US"/>
              </w:rPr>
              <w:t>core data set</w:t>
            </w:r>
            <w:r w:rsidR="00C70E88" w:rsidRPr="00C70E88">
              <w:rPr>
                <w:sz w:val="20"/>
                <w:szCs w:val="20"/>
                <w:lang w:val="en-US"/>
              </w:rPr>
              <w:t xml:space="preserve"> </w:t>
            </w:r>
            <w:r w:rsidRPr="00C8371D">
              <w:rPr>
                <w:i/>
                <w:sz w:val="20"/>
                <w:szCs w:val="20"/>
                <w:lang w:val="en-US"/>
              </w:rPr>
              <w:t>as part of regular monthly meetings.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The </w:t>
            </w:r>
            <w:r w:rsidR="00C70E88" w:rsidRPr="00C70E88">
              <w:rPr>
                <w:rFonts w:cs="Times New Roman"/>
                <w:i/>
                <w:sz w:val="20"/>
                <w:szCs w:val="20"/>
                <w:lang w:val="en-US"/>
              </w:rPr>
              <w:t>core data set</w:t>
            </w:r>
            <w:r w:rsidR="00C70E88" w:rsidRPr="00C70E88">
              <w:rPr>
                <w:sz w:val="20"/>
                <w:szCs w:val="20"/>
                <w:lang w:val="en-US"/>
              </w:rPr>
              <w:t xml:space="preserve"> 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is discussed at every council meeting. </w:t>
            </w:r>
          </w:p>
          <w:p w:rsidR="00C8371D" w:rsidRPr="00C8371D" w:rsidRDefault="00C8371D" w:rsidP="00F54F68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Minutes </w:t>
            </w:r>
            <w:r w:rsidR="00F54F68">
              <w:rPr>
                <w:i/>
                <w:sz w:val="20"/>
                <w:szCs w:val="20"/>
                <w:lang w:val="en-US"/>
              </w:rPr>
              <w:t xml:space="preserve">reflect </w:t>
            </w:r>
            <w:r w:rsidRPr="00C8371D">
              <w:rPr>
                <w:i/>
                <w:sz w:val="20"/>
                <w:szCs w:val="20"/>
                <w:lang w:val="en-US"/>
              </w:rPr>
              <w:t>actions and timelines.</w:t>
            </w:r>
          </w:p>
        </w:tc>
      </w:tr>
      <w:tr w:rsidR="00C8371D" w:rsidRPr="00C8371D" w:rsidTr="003B39BD">
        <w:tc>
          <w:tcPr>
            <w:tcW w:w="3936" w:type="dxa"/>
          </w:tcPr>
          <w:p w:rsidR="00C8371D" w:rsidRPr="00C8371D" w:rsidRDefault="00C8371D" w:rsidP="00C70E88">
            <w:pPr>
              <w:numPr>
                <w:ilvl w:val="0"/>
                <w:numId w:val="11"/>
              </w:numPr>
              <w:spacing w:after="0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The organisation annually reviews the relevance, frequency and effectiveness of the </w:t>
            </w:r>
            <w:r w:rsidR="00C70E88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ore </w:t>
            </w:r>
            <w:r w:rsidR="00C70E88">
              <w:rPr>
                <w:rFonts w:cs="Times New Roman"/>
                <w:sz w:val="20"/>
                <w:szCs w:val="20"/>
                <w:lang w:val="en-US"/>
              </w:rPr>
              <w:t>d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ata </w:t>
            </w:r>
            <w:r w:rsidR="00C70E88">
              <w:rPr>
                <w:rFonts w:cs="Times New Roman"/>
                <w:sz w:val="20"/>
                <w:szCs w:val="20"/>
                <w:lang w:val="en-US"/>
              </w:rPr>
              <w:t>s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>et. Reporting on progress with quality improvement.</w:t>
            </w:r>
          </w:p>
        </w:tc>
        <w:tc>
          <w:tcPr>
            <w:tcW w:w="5300" w:type="dxa"/>
            <w:shd w:val="clear" w:color="auto" w:fill="E6E4CC"/>
          </w:tcPr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Each measure in the </w:t>
            </w:r>
            <w:r w:rsidR="00C70E88" w:rsidRPr="00C70E88">
              <w:rPr>
                <w:rFonts w:cs="Times New Roman"/>
                <w:i/>
                <w:sz w:val="20"/>
                <w:szCs w:val="20"/>
                <w:lang w:val="en-US"/>
              </w:rPr>
              <w:t>core data set</w:t>
            </w:r>
            <w:r w:rsidR="00C70E88" w:rsidRPr="00C70E88">
              <w:rPr>
                <w:sz w:val="20"/>
                <w:szCs w:val="20"/>
                <w:lang w:val="en-US"/>
              </w:rPr>
              <w:t xml:space="preserve"> </w:t>
            </w:r>
            <w:r w:rsidRPr="00C8371D">
              <w:rPr>
                <w:i/>
                <w:sz w:val="20"/>
                <w:szCs w:val="20"/>
                <w:lang w:val="en-US"/>
              </w:rPr>
              <w:t>is revised annually for currency and relevance.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Reviews are documented and communicated from </w:t>
            </w:r>
            <w:r w:rsidR="00C70E88">
              <w:rPr>
                <w:i/>
                <w:sz w:val="20"/>
                <w:szCs w:val="20"/>
                <w:lang w:val="en-US"/>
              </w:rPr>
              <w:t>the f</w:t>
            </w:r>
            <w:r w:rsidRPr="00C8371D">
              <w:rPr>
                <w:i/>
                <w:sz w:val="20"/>
                <w:szCs w:val="20"/>
                <w:lang w:val="en-US"/>
              </w:rPr>
              <w:t xml:space="preserve">loor to </w:t>
            </w:r>
            <w:r w:rsidR="00C70E88">
              <w:rPr>
                <w:i/>
                <w:sz w:val="20"/>
                <w:szCs w:val="20"/>
                <w:lang w:val="en-US"/>
              </w:rPr>
              <w:t xml:space="preserve">the </w:t>
            </w:r>
            <w:r w:rsidRPr="00C8371D">
              <w:rPr>
                <w:i/>
                <w:sz w:val="20"/>
                <w:szCs w:val="20"/>
                <w:lang w:val="en-US"/>
              </w:rPr>
              <w:t>Board.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426"/>
              <w:contextualSpacing/>
              <w:jc w:val="left"/>
              <w:rPr>
                <w:i/>
                <w:sz w:val="20"/>
                <w:szCs w:val="20"/>
                <w:lang w:val="en-US"/>
              </w:rPr>
            </w:pPr>
            <w:r w:rsidRPr="00C8371D">
              <w:rPr>
                <w:i/>
                <w:sz w:val="20"/>
                <w:szCs w:val="20"/>
                <w:lang w:val="en-US"/>
              </w:rPr>
              <w:t xml:space="preserve">Recommendations for improvements to the </w:t>
            </w:r>
            <w:r w:rsidR="00C70E88" w:rsidRPr="00C70E88">
              <w:rPr>
                <w:rFonts w:cs="Times New Roman"/>
                <w:i/>
                <w:sz w:val="20"/>
                <w:szCs w:val="20"/>
                <w:lang w:val="en-US"/>
              </w:rPr>
              <w:t>core data set</w:t>
            </w:r>
            <w:r w:rsidR="00C70E88" w:rsidRPr="00C70E88">
              <w:rPr>
                <w:sz w:val="20"/>
                <w:szCs w:val="20"/>
                <w:lang w:val="en-US"/>
              </w:rPr>
              <w:t xml:space="preserve"> </w:t>
            </w:r>
            <w:r w:rsidRPr="00C8371D">
              <w:rPr>
                <w:i/>
                <w:sz w:val="20"/>
                <w:szCs w:val="20"/>
                <w:lang w:val="en-US"/>
              </w:rPr>
              <w:t>are actioned.</w:t>
            </w:r>
          </w:p>
        </w:tc>
      </w:tr>
    </w:tbl>
    <w:p w:rsidR="00C8371D" w:rsidRPr="00C8371D" w:rsidRDefault="00C8371D" w:rsidP="00C8371D">
      <w:pPr>
        <w:jc w:val="left"/>
        <w:rPr>
          <w:noProof/>
          <w:lang w:eastAsia="en-NZ"/>
        </w:rPr>
      </w:pPr>
    </w:p>
    <w:p w:rsidR="00C8371D" w:rsidRPr="00C8371D" w:rsidRDefault="00C8371D" w:rsidP="00C8371D">
      <w:pPr>
        <w:jc w:val="left"/>
        <w:rPr>
          <w:noProof/>
          <w:lang w:eastAsia="en-NZ"/>
        </w:rPr>
      </w:pPr>
    </w:p>
    <w:p w:rsidR="00C8371D" w:rsidRPr="00C8371D" w:rsidRDefault="00C8371D" w:rsidP="00C8371D">
      <w:pPr>
        <w:keepNext/>
        <w:keepLines/>
        <w:spacing w:before="240" w:line="240" w:lineRule="auto"/>
        <w:jc w:val="left"/>
        <w:outlineLvl w:val="0"/>
        <w:rPr>
          <w:rFonts w:eastAsiaTheme="majorEastAsia" w:cs="Calibri"/>
          <w:bCs/>
          <w:color w:val="A79F53"/>
          <w:sz w:val="40"/>
          <w:szCs w:val="32"/>
          <w:lang w:val="en-US"/>
        </w:rPr>
      </w:pPr>
      <w:r w:rsidRPr="00C8371D">
        <w:rPr>
          <w:rFonts w:eastAsiaTheme="majorEastAsia" w:cs="Calibri"/>
          <w:bCs/>
          <w:color w:val="A79F53"/>
          <w:sz w:val="40"/>
          <w:szCs w:val="32"/>
          <w:lang w:val="en-US"/>
        </w:rPr>
        <w:lastRenderedPageBreak/>
        <w:t xml:space="preserve">Standard 4 - Staffing </w:t>
      </w:r>
      <w:r w:rsidR="00CD470C">
        <w:rPr>
          <w:rFonts w:eastAsiaTheme="majorEastAsia" w:cs="Calibri"/>
          <w:bCs/>
          <w:color w:val="A79F53"/>
          <w:sz w:val="40"/>
          <w:szCs w:val="32"/>
          <w:lang w:val="en-US"/>
        </w:rPr>
        <w:t>m</w:t>
      </w:r>
      <w:r w:rsidRPr="00C8371D">
        <w:rPr>
          <w:rFonts w:eastAsiaTheme="majorEastAsia" w:cs="Calibri"/>
          <w:bCs/>
          <w:color w:val="A79F53"/>
          <w:sz w:val="40"/>
          <w:szCs w:val="32"/>
          <w:lang w:val="en-US"/>
        </w:rPr>
        <w:t xml:space="preserve">ethodology </w:t>
      </w:r>
    </w:p>
    <w:tbl>
      <w:tblPr>
        <w:tblStyle w:val="TableGrid"/>
        <w:tblW w:w="0" w:type="auto"/>
        <w:tblBorders>
          <w:top w:val="single" w:sz="4" w:space="0" w:color="BFB97F"/>
          <w:left w:val="single" w:sz="4" w:space="0" w:color="BFB97F"/>
          <w:bottom w:val="single" w:sz="4" w:space="0" w:color="BFB97F"/>
          <w:right w:val="single" w:sz="4" w:space="0" w:color="BFB97F"/>
          <w:insideH w:val="single" w:sz="4" w:space="0" w:color="BFB97F"/>
          <w:insideV w:val="single" w:sz="4" w:space="0" w:color="BFB97F"/>
        </w:tblBorders>
        <w:shd w:val="clear" w:color="auto" w:fill="BFB97F"/>
        <w:tblLook w:val="04A0" w:firstRow="1" w:lastRow="0" w:firstColumn="1" w:lastColumn="0" w:noHBand="0" w:noVBand="1"/>
      </w:tblPr>
      <w:tblGrid>
        <w:gridCol w:w="9010"/>
      </w:tblGrid>
      <w:tr w:rsidR="00C8371D" w:rsidRPr="00C8371D" w:rsidTr="003B39BD">
        <w:tc>
          <w:tcPr>
            <w:tcW w:w="9242" w:type="dxa"/>
            <w:shd w:val="clear" w:color="auto" w:fill="BFB97F"/>
          </w:tcPr>
          <w:p w:rsidR="00C8371D" w:rsidRPr="00C8371D" w:rsidRDefault="00C8371D" w:rsidP="00C8371D">
            <w:pPr>
              <w:tabs>
                <w:tab w:val="left" w:pos="2160"/>
              </w:tabs>
              <w:spacing w:before="60" w:after="60"/>
              <w:ind w:left="2160" w:hanging="2160"/>
              <w:jc w:val="left"/>
              <w:rPr>
                <w:b/>
                <w:bCs/>
                <w:lang w:val="en-US"/>
              </w:rPr>
            </w:pPr>
            <w:r w:rsidRPr="00C8371D">
              <w:rPr>
                <w:b/>
                <w:bCs/>
                <w:lang w:val="en-US"/>
              </w:rPr>
              <w:t>Standard 4.0</w:t>
            </w:r>
          </w:p>
          <w:p w:rsidR="00C8371D" w:rsidRPr="00C8371D" w:rsidRDefault="00C8371D" w:rsidP="00C8371D">
            <w:pPr>
              <w:jc w:val="left"/>
              <w:rPr>
                <w:rFonts w:asciiTheme="minorHAnsi" w:eastAsiaTheme="minorHAnsi" w:hAnsiTheme="minorHAnsi"/>
                <w:szCs w:val="24"/>
              </w:rPr>
            </w:pPr>
            <w:r w:rsidRPr="00C8371D">
              <w:rPr>
                <w:lang w:val="en-US"/>
              </w:rPr>
              <w:t xml:space="preserve">A </w:t>
            </w:r>
            <w:r w:rsidRPr="00C8371D">
              <w:rPr>
                <w:rFonts w:asciiTheme="minorHAnsi" w:eastAsiaTheme="minorHAnsi" w:hAnsiTheme="minorHAnsi" w:cstheme="minorHAnsi"/>
                <w:szCs w:val="24"/>
              </w:rPr>
              <w:t>systematic process</w:t>
            </w:r>
            <w:r w:rsidRPr="00C8371D">
              <w:rPr>
                <w:lang w:val="en-US"/>
              </w:rPr>
              <w:t xml:space="preserve"> is used to establish and budget for staffing FTE, staff mix and skill mix, to ensure the provision of </w:t>
            </w:r>
            <w:r w:rsidRPr="00C8371D">
              <w:rPr>
                <w:rFonts w:asciiTheme="minorHAnsi" w:eastAsiaTheme="minorHAnsi" w:hAnsiTheme="minorHAnsi" w:cstheme="minorHAnsi"/>
                <w:szCs w:val="24"/>
              </w:rPr>
              <w:t>timely, appropriate and safe services.</w:t>
            </w:r>
          </w:p>
        </w:tc>
      </w:tr>
    </w:tbl>
    <w:p w:rsidR="00C8371D" w:rsidRPr="00C8371D" w:rsidRDefault="00C8371D" w:rsidP="00C8371D">
      <w:pPr>
        <w:spacing w:after="0" w:line="240" w:lineRule="auto"/>
        <w:rPr>
          <w:rFonts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single" w:sz="4" w:space="0" w:color="BFB97F"/>
          <w:left w:val="single" w:sz="4" w:space="0" w:color="BFB97F"/>
          <w:bottom w:val="single" w:sz="4" w:space="0" w:color="BFB97F"/>
          <w:right w:val="single" w:sz="4" w:space="0" w:color="BFB97F"/>
          <w:insideH w:val="single" w:sz="4" w:space="0" w:color="BFB97F"/>
          <w:insideV w:val="single" w:sz="4" w:space="0" w:color="BFB97F"/>
        </w:tblBorders>
        <w:tblLook w:val="04A0" w:firstRow="1" w:lastRow="0" w:firstColumn="1" w:lastColumn="0" w:noHBand="0" w:noVBand="1"/>
      </w:tblPr>
      <w:tblGrid>
        <w:gridCol w:w="3842"/>
        <w:gridCol w:w="5168"/>
      </w:tblGrid>
      <w:tr w:rsidR="00C8371D" w:rsidRPr="00C8371D" w:rsidTr="003B39BD">
        <w:trPr>
          <w:tblHeader/>
        </w:trPr>
        <w:tc>
          <w:tcPr>
            <w:tcW w:w="3936" w:type="dxa"/>
            <w:shd w:val="clear" w:color="auto" w:fill="BFB97F"/>
          </w:tcPr>
          <w:p w:rsidR="00C8371D" w:rsidRPr="00C8371D" w:rsidRDefault="00C8371D" w:rsidP="00C8371D">
            <w:pPr>
              <w:tabs>
                <w:tab w:val="left" w:pos="2160"/>
              </w:tabs>
              <w:spacing w:before="60" w:after="60"/>
              <w:ind w:left="2160" w:hanging="2160"/>
              <w:jc w:val="left"/>
              <w:rPr>
                <w:b/>
                <w:bCs/>
                <w:lang w:val="en-US"/>
              </w:rPr>
            </w:pPr>
            <w:r w:rsidRPr="00C8371D">
              <w:rPr>
                <w:b/>
                <w:bCs/>
                <w:lang w:val="en-US"/>
              </w:rPr>
              <w:t>Criteria</w:t>
            </w:r>
          </w:p>
        </w:tc>
        <w:tc>
          <w:tcPr>
            <w:tcW w:w="5300" w:type="dxa"/>
            <w:shd w:val="clear" w:color="auto" w:fill="BFB97F"/>
          </w:tcPr>
          <w:p w:rsidR="00C8371D" w:rsidRPr="00C8371D" w:rsidRDefault="00C8371D" w:rsidP="00C8371D">
            <w:pPr>
              <w:tabs>
                <w:tab w:val="left" w:pos="2160"/>
              </w:tabs>
              <w:spacing w:before="60" w:after="60"/>
              <w:ind w:left="2160" w:hanging="2160"/>
              <w:jc w:val="left"/>
              <w:rPr>
                <w:b/>
                <w:bCs/>
                <w:lang w:val="en-US"/>
              </w:rPr>
            </w:pPr>
            <w:r w:rsidRPr="00C8371D">
              <w:rPr>
                <w:b/>
                <w:bCs/>
                <w:lang w:val="en-US"/>
              </w:rPr>
              <w:t>Guidance</w:t>
            </w:r>
          </w:p>
        </w:tc>
      </w:tr>
      <w:tr w:rsidR="00C8371D" w:rsidRPr="00C8371D" w:rsidTr="003B39BD">
        <w:tc>
          <w:tcPr>
            <w:tcW w:w="3936" w:type="dxa"/>
          </w:tcPr>
          <w:p w:rsidR="00C8371D" w:rsidRPr="00C8371D" w:rsidRDefault="00C8371D" w:rsidP="00D55472">
            <w:pPr>
              <w:numPr>
                <w:ilvl w:val="0"/>
                <w:numId w:val="12"/>
              </w:numPr>
              <w:spacing w:after="0"/>
              <w:ind w:left="426" w:hanging="426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The organisation has staffing budget setting procedures in place that are reviewed annually by the CCDM </w:t>
            </w:r>
            <w:r w:rsidR="00D55472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C8371D">
              <w:rPr>
                <w:rFonts w:cs="Times New Roman"/>
                <w:sz w:val="20"/>
                <w:szCs w:val="20"/>
                <w:lang w:val="en-US"/>
              </w:rPr>
              <w:t>ouncil.</w:t>
            </w:r>
          </w:p>
        </w:tc>
        <w:tc>
          <w:tcPr>
            <w:tcW w:w="5300" w:type="dxa"/>
            <w:shd w:val="clear" w:color="auto" w:fill="E6E4CC"/>
          </w:tcPr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5" w:hanging="426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The FTE calculation methodology is being used as the basis of annual staff budgeting. 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5" w:hanging="426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The DHB has a formal process in place to validate FTE calculations. 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5" w:hanging="426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The staffing budget is set using the results of the FTE calculation based on data from the past 12 months.</w:t>
            </w:r>
          </w:p>
        </w:tc>
      </w:tr>
      <w:tr w:rsidR="00C8371D" w:rsidRPr="00C8371D" w:rsidTr="003B39BD">
        <w:tc>
          <w:tcPr>
            <w:tcW w:w="3936" w:type="dxa"/>
          </w:tcPr>
          <w:p w:rsidR="00C8371D" w:rsidRPr="00C8371D" w:rsidRDefault="00C8371D" w:rsidP="00C8371D">
            <w:pPr>
              <w:numPr>
                <w:ilvl w:val="0"/>
                <w:numId w:val="12"/>
              </w:numPr>
              <w:spacing w:after="0"/>
              <w:ind w:left="426" w:hanging="426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sz w:val="20"/>
                <w:szCs w:val="20"/>
                <w:lang w:val="en-US"/>
              </w:rPr>
              <w:t>The organisation uses the CCDM staffing methodology to establish staffing numbers, staff and skill mix for each ward/unit that uses a validated patient acuity system.</w:t>
            </w:r>
          </w:p>
        </w:tc>
        <w:tc>
          <w:tcPr>
            <w:tcW w:w="5300" w:type="dxa"/>
            <w:shd w:val="clear" w:color="auto" w:fill="E6E4CC"/>
          </w:tcPr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5" w:hanging="426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The DHB meets the validated acuity system standards recommended by the vendor.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5" w:hanging="426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Patient acuity data is validated as accurate before proceeding with the FTE calculation. 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5" w:hanging="426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The DHB uses the staffing methodology software provided by the SSHW Unit.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5" w:hanging="426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All inpatient wards/units (that use a validated patient acuity) have completed at least one work analysis (and repeated this where indicated). 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5" w:hanging="426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The FTE calculation is completed annually for all inpatient wards/units that use a validated patient acuity system. 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5" w:hanging="426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Recommendations from the FTE calculation and work analysis are transferred into the annual CCDM </w:t>
            </w:r>
            <w:r w:rsidR="00C70E88">
              <w:rPr>
                <w:rFonts w:cs="Times New Roman"/>
                <w:i/>
                <w:sz w:val="20"/>
                <w:szCs w:val="20"/>
                <w:lang w:val="en-US"/>
              </w:rPr>
              <w:t>workplan.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5" w:hanging="426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Recommendations are implemented and evaluated.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5" w:hanging="426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Both DHB and </w:t>
            </w:r>
            <w:r w:rsidR="00D55472">
              <w:rPr>
                <w:rFonts w:cs="Times New Roman"/>
                <w:i/>
                <w:sz w:val="20"/>
                <w:szCs w:val="20"/>
                <w:lang w:val="en-US"/>
              </w:rPr>
              <w:t xml:space="preserve">health </w:t>
            </w: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union partners are actively involved in the staffing methodology process.</w:t>
            </w:r>
          </w:p>
        </w:tc>
      </w:tr>
      <w:tr w:rsidR="00C8371D" w:rsidRPr="00C8371D" w:rsidTr="003B39BD">
        <w:tc>
          <w:tcPr>
            <w:tcW w:w="3936" w:type="dxa"/>
          </w:tcPr>
          <w:p w:rsidR="00C8371D" w:rsidRPr="00C8371D" w:rsidRDefault="00C8371D" w:rsidP="00C8371D">
            <w:pPr>
              <w:numPr>
                <w:ilvl w:val="0"/>
                <w:numId w:val="12"/>
              </w:numPr>
              <w:spacing w:after="0"/>
              <w:ind w:left="426" w:hanging="426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sz w:val="20"/>
                <w:szCs w:val="20"/>
                <w:lang w:val="en-US"/>
              </w:rPr>
              <w:t>Budget holders are involved annually in setting the roster model, FTE and budget.</w:t>
            </w:r>
          </w:p>
        </w:tc>
        <w:tc>
          <w:tcPr>
            <w:tcW w:w="5300" w:type="dxa"/>
            <w:shd w:val="clear" w:color="auto" w:fill="E6E4CC"/>
          </w:tcPr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5" w:hanging="426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Ward/unit managers and service managers meet with management accountants to discuss and agree the staffing budget.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5" w:hanging="426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Changes to the budget are notified in advance of the budget being set.</w:t>
            </w:r>
          </w:p>
          <w:p w:rsidR="00C8371D" w:rsidRPr="00C8371D" w:rsidRDefault="00C8371D" w:rsidP="00D55472">
            <w:pPr>
              <w:numPr>
                <w:ilvl w:val="0"/>
                <w:numId w:val="7"/>
              </w:numPr>
              <w:spacing w:after="0"/>
              <w:ind w:left="455" w:hanging="426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Plans to mitigate staffing budget shortfalls are discussed and agreed by the </w:t>
            </w:r>
            <w:r w:rsidR="00D55472">
              <w:rPr>
                <w:rFonts w:cs="Times New Roman"/>
                <w:i/>
                <w:sz w:val="20"/>
                <w:szCs w:val="20"/>
                <w:lang w:val="en-US"/>
              </w:rPr>
              <w:t>CCDM c</w:t>
            </w: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ouncil.</w:t>
            </w:r>
          </w:p>
        </w:tc>
      </w:tr>
      <w:tr w:rsidR="00C8371D" w:rsidRPr="00C8371D" w:rsidTr="003B39BD">
        <w:tc>
          <w:tcPr>
            <w:tcW w:w="3936" w:type="dxa"/>
          </w:tcPr>
          <w:p w:rsidR="00C8371D" w:rsidRPr="00C8371D" w:rsidRDefault="00C8371D" w:rsidP="00C8371D">
            <w:pPr>
              <w:numPr>
                <w:ilvl w:val="0"/>
                <w:numId w:val="12"/>
              </w:numPr>
              <w:spacing w:after="0"/>
              <w:ind w:left="426" w:hanging="426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sz w:val="20"/>
                <w:szCs w:val="20"/>
                <w:lang w:val="en-US"/>
              </w:rPr>
              <w:t xml:space="preserve">The roster model provides the best match of staffing to patient demand. </w:t>
            </w:r>
          </w:p>
        </w:tc>
        <w:tc>
          <w:tcPr>
            <w:tcW w:w="5300" w:type="dxa"/>
            <w:shd w:val="clear" w:color="auto" w:fill="E6E4CC"/>
          </w:tcPr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5" w:hanging="426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Each ward/unit has a documented roster model, staff and skill mix requirements.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5" w:hanging="426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The roster model in use reflects results from the FTE calculation and work analysis.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5" w:hanging="426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There is minimal variance between the posted roster and roster model.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5" w:hanging="426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Care hours variance is within accepted tolerances as evidence by outcomes in the </w:t>
            </w:r>
            <w:r w:rsidR="00D55472">
              <w:rPr>
                <w:rFonts w:cs="Times New Roman"/>
                <w:i/>
                <w:sz w:val="20"/>
                <w:szCs w:val="20"/>
                <w:lang w:val="en-US"/>
              </w:rPr>
              <w:t>c</w:t>
            </w: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ore </w:t>
            </w:r>
            <w:r w:rsidR="00D55472">
              <w:rPr>
                <w:rFonts w:cs="Times New Roman"/>
                <w:i/>
                <w:sz w:val="20"/>
                <w:szCs w:val="20"/>
                <w:lang w:val="en-US"/>
              </w:rPr>
              <w:t>d</w:t>
            </w: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ata </w:t>
            </w:r>
            <w:r w:rsidR="00D55472">
              <w:rPr>
                <w:rFonts w:cs="Times New Roman"/>
                <w:i/>
                <w:sz w:val="20"/>
                <w:szCs w:val="20"/>
                <w:lang w:val="en-US"/>
              </w:rPr>
              <w:t>s</w:t>
            </w: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et.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5" w:hanging="426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The budget and roster pattern accommodates seasonal or predictable variation in patient demand. 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5" w:hanging="426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lastRenderedPageBreak/>
              <w:t>FTE calculations are run for summer and winter, where appropriate.</w:t>
            </w:r>
          </w:p>
        </w:tc>
      </w:tr>
      <w:tr w:rsidR="00C8371D" w:rsidRPr="00C8371D" w:rsidTr="003B39BD">
        <w:tc>
          <w:tcPr>
            <w:tcW w:w="3936" w:type="dxa"/>
          </w:tcPr>
          <w:p w:rsidR="00C8371D" w:rsidRPr="00C8371D" w:rsidRDefault="00C8371D" w:rsidP="00C8371D">
            <w:pPr>
              <w:numPr>
                <w:ilvl w:val="0"/>
                <w:numId w:val="12"/>
              </w:numPr>
              <w:spacing w:after="0"/>
              <w:ind w:left="426" w:hanging="426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sz w:val="20"/>
                <w:szCs w:val="20"/>
                <w:lang w:val="en-US"/>
              </w:rPr>
              <w:lastRenderedPageBreak/>
              <w:t>The organisation regularly evaluates the adequacy of staffing levels/mix and acts on the findings.</w:t>
            </w:r>
          </w:p>
        </w:tc>
        <w:tc>
          <w:tcPr>
            <w:tcW w:w="5300" w:type="dxa"/>
            <w:shd w:val="clear" w:color="auto" w:fill="E6E4CC"/>
          </w:tcPr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5" w:hanging="426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The line manager reviews the roster model (daily, weekly and monthly) using validated patient acuity data.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5" w:hanging="426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The impact of the roster model is monitored using the </w:t>
            </w:r>
            <w:r w:rsidR="00D55472">
              <w:rPr>
                <w:rFonts w:cs="Times New Roman"/>
                <w:i/>
                <w:sz w:val="20"/>
                <w:szCs w:val="20"/>
                <w:lang w:val="en-US"/>
              </w:rPr>
              <w:t>c</w:t>
            </w: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ore </w:t>
            </w:r>
            <w:r w:rsidR="00D55472">
              <w:rPr>
                <w:rFonts w:cs="Times New Roman"/>
                <w:i/>
                <w:sz w:val="20"/>
                <w:szCs w:val="20"/>
                <w:lang w:val="en-US"/>
              </w:rPr>
              <w:t>d</w:t>
            </w: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ata </w:t>
            </w:r>
            <w:r w:rsidR="00D55472">
              <w:rPr>
                <w:rFonts w:cs="Times New Roman"/>
                <w:i/>
                <w:sz w:val="20"/>
                <w:szCs w:val="20"/>
                <w:lang w:val="en-US"/>
              </w:rPr>
              <w:t>s</w:t>
            </w: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et, at each</w:t>
            </w:r>
            <w:r w:rsidR="00D55472">
              <w:rPr>
                <w:rFonts w:cs="Times New Roman"/>
                <w:i/>
                <w:sz w:val="20"/>
                <w:szCs w:val="20"/>
                <w:lang w:val="en-US"/>
              </w:rPr>
              <w:t xml:space="preserve"> CCDM</w:t>
            </w: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 council meeting, at all levels of the organisation.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5" w:hanging="426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Issues raised by staff about inadequate staffing levels or mix are reviewed and actioned through a bipartite process in accordance with the MECA and Health and Safety Act (2016). 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/>
              <w:ind w:left="455" w:hanging="426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There is evidence of </w:t>
            </w:r>
            <w:r w:rsidR="00162B35">
              <w:rPr>
                <w:rFonts w:cs="Times New Roman"/>
                <w:i/>
                <w:sz w:val="20"/>
                <w:szCs w:val="20"/>
                <w:lang w:val="en-US"/>
              </w:rPr>
              <w:t xml:space="preserve">partnership </w:t>
            </w: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meetings, </w:t>
            </w:r>
            <w:r w:rsidR="00162B35">
              <w:rPr>
                <w:rFonts w:cs="Times New Roman"/>
                <w:i/>
                <w:sz w:val="20"/>
                <w:szCs w:val="20"/>
                <w:lang w:val="en-US"/>
              </w:rPr>
              <w:t>work</w:t>
            </w: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plans </w:t>
            </w:r>
            <w:r w:rsidR="00162B35">
              <w:rPr>
                <w:rFonts w:cs="Times New Roman"/>
                <w:i/>
                <w:sz w:val="20"/>
                <w:szCs w:val="20"/>
                <w:lang w:val="en-US"/>
              </w:rPr>
              <w:t>with</w:t>
            </w: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 agreed time lines.</w:t>
            </w:r>
          </w:p>
          <w:p w:rsidR="00C8371D" w:rsidRPr="00C8371D" w:rsidRDefault="00C8371D" w:rsidP="00D55472">
            <w:pPr>
              <w:numPr>
                <w:ilvl w:val="0"/>
                <w:numId w:val="7"/>
              </w:numPr>
              <w:spacing w:after="0"/>
              <w:ind w:left="455" w:hanging="426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Issues of persistent concern are escalated to the CCDM </w:t>
            </w:r>
            <w:r w:rsidR="00D55472">
              <w:rPr>
                <w:rFonts w:cs="Times New Roman"/>
                <w:i/>
                <w:sz w:val="20"/>
                <w:szCs w:val="20"/>
                <w:lang w:val="en-US"/>
              </w:rPr>
              <w:t>c</w:t>
            </w: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ouncil and Board where needed.</w:t>
            </w:r>
          </w:p>
        </w:tc>
      </w:tr>
    </w:tbl>
    <w:p w:rsidR="00C8371D" w:rsidRPr="00C8371D" w:rsidRDefault="00C8371D" w:rsidP="00C8371D">
      <w:pPr>
        <w:jc w:val="left"/>
        <w:rPr>
          <w:noProof/>
          <w:lang w:eastAsia="en-NZ"/>
        </w:rPr>
      </w:pPr>
    </w:p>
    <w:p w:rsidR="00C8371D" w:rsidRPr="00C8371D" w:rsidRDefault="00C8371D" w:rsidP="00C8371D">
      <w:pPr>
        <w:jc w:val="left"/>
        <w:rPr>
          <w:noProof/>
          <w:lang w:eastAsia="en-NZ"/>
        </w:rPr>
      </w:pPr>
    </w:p>
    <w:p w:rsidR="00C8371D" w:rsidRPr="00C8371D" w:rsidRDefault="00C8371D" w:rsidP="00C8371D">
      <w:pPr>
        <w:spacing w:after="0" w:line="240" w:lineRule="auto"/>
        <w:jc w:val="left"/>
        <w:rPr>
          <w:rFonts w:eastAsiaTheme="majorEastAsia" w:cs="Calibri"/>
          <w:bCs/>
          <w:color w:val="A79F53"/>
          <w:sz w:val="44"/>
          <w:szCs w:val="32"/>
          <w:lang w:val="en-US"/>
        </w:rPr>
      </w:pPr>
      <w:r w:rsidRPr="00C8371D">
        <w:rPr>
          <w:lang w:val="en-US"/>
        </w:rPr>
        <w:br w:type="page"/>
      </w:r>
    </w:p>
    <w:p w:rsidR="00C8371D" w:rsidRPr="00C8371D" w:rsidRDefault="00C8371D" w:rsidP="00C8371D">
      <w:pPr>
        <w:keepNext/>
        <w:keepLines/>
        <w:spacing w:before="240" w:line="240" w:lineRule="auto"/>
        <w:jc w:val="left"/>
        <w:outlineLvl w:val="0"/>
        <w:rPr>
          <w:rFonts w:eastAsiaTheme="majorEastAsia" w:cs="Calibri"/>
          <w:bCs/>
          <w:color w:val="A79F53"/>
          <w:sz w:val="40"/>
          <w:szCs w:val="32"/>
          <w:lang w:val="en-US"/>
        </w:rPr>
      </w:pPr>
      <w:r w:rsidRPr="00C8371D">
        <w:rPr>
          <w:rFonts w:eastAsiaTheme="majorEastAsia" w:cs="Calibri"/>
          <w:bCs/>
          <w:color w:val="A79F53"/>
          <w:sz w:val="40"/>
          <w:szCs w:val="32"/>
          <w:lang w:val="en-US"/>
        </w:rPr>
        <w:lastRenderedPageBreak/>
        <w:t xml:space="preserve">Standard 5 – Variance </w:t>
      </w:r>
      <w:r w:rsidR="00CD470C">
        <w:rPr>
          <w:rFonts w:eastAsiaTheme="majorEastAsia" w:cs="Calibri"/>
          <w:bCs/>
          <w:color w:val="A79F53"/>
          <w:sz w:val="40"/>
          <w:szCs w:val="32"/>
          <w:lang w:val="en-US"/>
        </w:rPr>
        <w:t>r</w:t>
      </w:r>
      <w:r w:rsidRPr="00C8371D">
        <w:rPr>
          <w:rFonts w:eastAsiaTheme="majorEastAsia" w:cs="Calibri"/>
          <w:bCs/>
          <w:color w:val="A79F53"/>
          <w:sz w:val="40"/>
          <w:szCs w:val="32"/>
          <w:lang w:val="en-US"/>
        </w:rPr>
        <w:t xml:space="preserve">esponse </w:t>
      </w:r>
      <w:r w:rsidR="00CD470C">
        <w:rPr>
          <w:rFonts w:eastAsiaTheme="majorEastAsia" w:cs="Calibri"/>
          <w:bCs/>
          <w:color w:val="A79F53"/>
          <w:sz w:val="40"/>
          <w:szCs w:val="32"/>
          <w:lang w:val="en-US"/>
        </w:rPr>
        <w:t>m</w:t>
      </w:r>
      <w:r w:rsidRPr="00C8371D">
        <w:rPr>
          <w:rFonts w:eastAsiaTheme="majorEastAsia" w:cs="Calibri"/>
          <w:bCs/>
          <w:color w:val="A79F53"/>
          <w:sz w:val="40"/>
          <w:szCs w:val="32"/>
          <w:lang w:val="en-US"/>
        </w:rPr>
        <w:t>anagement</w:t>
      </w:r>
    </w:p>
    <w:tbl>
      <w:tblPr>
        <w:tblStyle w:val="TableGrid"/>
        <w:tblW w:w="0" w:type="auto"/>
        <w:tblBorders>
          <w:top w:val="single" w:sz="4" w:space="0" w:color="BFB97F"/>
          <w:left w:val="single" w:sz="4" w:space="0" w:color="BFB97F"/>
          <w:bottom w:val="single" w:sz="4" w:space="0" w:color="BFB97F"/>
          <w:right w:val="single" w:sz="4" w:space="0" w:color="BFB97F"/>
          <w:insideH w:val="single" w:sz="4" w:space="0" w:color="BFB97F"/>
          <w:insideV w:val="single" w:sz="4" w:space="0" w:color="BFB97F"/>
        </w:tblBorders>
        <w:shd w:val="clear" w:color="auto" w:fill="BFB97F"/>
        <w:tblLook w:val="04A0" w:firstRow="1" w:lastRow="0" w:firstColumn="1" w:lastColumn="0" w:noHBand="0" w:noVBand="1"/>
      </w:tblPr>
      <w:tblGrid>
        <w:gridCol w:w="9010"/>
      </w:tblGrid>
      <w:tr w:rsidR="00C8371D" w:rsidRPr="00C8371D" w:rsidTr="003B39BD">
        <w:trPr>
          <w:tblHeader/>
        </w:trPr>
        <w:tc>
          <w:tcPr>
            <w:tcW w:w="14174" w:type="dxa"/>
            <w:shd w:val="clear" w:color="auto" w:fill="BFB97F"/>
          </w:tcPr>
          <w:p w:rsidR="00C8371D" w:rsidRPr="00C8371D" w:rsidRDefault="00C8371D" w:rsidP="00B66451">
            <w:pPr>
              <w:tabs>
                <w:tab w:val="left" w:pos="1695"/>
                <w:tab w:val="left" w:pos="2145"/>
              </w:tabs>
              <w:spacing w:before="60" w:after="60"/>
              <w:ind w:left="2160" w:hanging="2160"/>
              <w:jc w:val="left"/>
              <w:rPr>
                <w:b/>
                <w:bCs/>
                <w:lang w:val="en-US"/>
              </w:rPr>
            </w:pPr>
            <w:r w:rsidRPr="00C8371D">
              <w:rPr>
                <w:b/>
                <w:bCs/>
                <w:lang w:val="en-US"/>
              </w:rPr>
              <w:t>Standard 5.0</w:t>
            </w:r>
            <w:r w:rsidR="00B66451">
              <w:rPr>
                <w:b/>
                <w:bCs/>
                <w:lang w:val="en-US"/>
              </w:rPr>
              <w:tab/>
            </w:r>
            <w:r w:rsidR="00B66451">
              <w:rPr>
                <w:b/>
                <w:bCs/>
                <w:lang w:val="en-US"/>
              </w:rPr>
              <w:tab/>
            </w:r>
          </w:p>
          <w:p w:rsidR="00C8371D" w:rsidRPr="00C8371D" w:rsidRDefault="00C8371D" w:rsidP="00CD470C">
            <w:pPr>
              <w:jc w:val="left"/>
              <w:rPr>
                <w:lang w:val="en-US"/>
              </w:rPr>
            </w:pPr>
            <w:r w:rsidRPr="00C8371D">
              <w:rPr>
                <w:lang w:val="en-US"/>
              </w:rPr>
              <w:t xml:space="preserve">The DHB uses a </w:t>
            </w:r>
            <w:r w:rsidR="00CD470C">
              <w:rPr>
                <w:lang w:val="en-US"/>
              </w:rPr>
              <w:t>v</w:t>
            </w:r>
            <w:r w:rsidRPr="00C8371D">
              <w:rPr>
                <w:lang w:val="en-US"/>
              </w:rPr>
              <w:t xml:space="preserve">ariance </w:t>
            </w:r>
            <w:r w:rsidR="00CD470C">
              <w:rPr>
                <w:lang w:val="en-US"/>
              </w:rPr>
              <w:t>r</w:t>
            </w:r>
            <w:r w:rsidRPr="00C8371D">
              <w:rPr>
                <w:lang w:val="en-US"/>
              </w:rPr>
              <w:t xml:space="preserve">esponse </w:t>
            </w:r>
            <w:r w:rsidR="00CD470C">
              <w:rPr>
                <w:lang w:val="en-US"/>
              </w:rPr>
              <w:t>m</w:t>
            </w:r>
            <w:r w:rsidRPr="00C8371D">
              <w:rPr>
                <w:lang w:val="en-US"/>
              </w:rPr>
              <w:t>anagement system to provide the right staff numbers, mix and skills at all times for effective patient care delivery.</w:t>
            </w:r>
          </w:p>
        </w:tc>
      </w:tr>
    </w:tbl>
    <w:p w:rsidR="00C8371D" w:rsidRPr="00C8371D" w:rsidRDefault="00C8371D" w:rsidP="00C8371D">
      <w:pPr>
        <w:spacing w:after="0" w:line="240" w:lineRule="auto"/>
        <w:rPr>
          <w:rFonts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single" w:sz="4" w:space="0" w:color="BFB97F"/>
          <w:left w:val="single" w:sz="4" w:space="0" w:color="BFB97F"/>
          <w:bottom w:val="single" w:sz="4" w:space="0" w:color="BFB97F"/>
          <w:right w:val="single" w:sz="4" w:space="0" w:color="BFB97F"/>
          <w:insideH w:val="single" w:sz="4" w:space="0" w:color="BFB97F"/>
          <w:insideV w:val="single" w:sz="4" w:space="0" w:color="BFB97F"/>
        </w:tblBorders>
        <w:tblLook w:val="04A0" w:firstRow="1" w:lastRow="0" w:firstColumn="1" w:lastColumn="0" w:noHBand="0" w:noVBand="1"/>
      </w:tblPr>
      <w:tblGrid>
        <w:gridCol w:w="3848"/>
        <w:gridCol w:w="5162"/>
      </w:tblGrid>
      <w:tr w:rsidR="00C8371D" w:rsidRPr="00C8371D" w:rsidTr="003B39BD">
        <w:trPr>
          <w:tblHeader/>
        </w:trPr>
        <w:tc>
          <w:tcPr>
            <w:tcW w:w="3936" w:type="dxa"/>
            <w:shd w:val="clear" w:color="auto" w:fill="BFB97F"/>
          </w:tcPr>
          <w:p w:rsidR="00C8371D" w:rsidRPr="00C8371D" w:rsidRDefault="00C8371D" w:rsidP="00C8371D">
            <w:pPr>
              <w:tabs>
                <w:tab w:val="left" w:pos="2160"/>
              </w:tabs>
              <w:spacing w:before="60" w:after="60"/>
              <w:ind w:left="2160" w:hanging="2160"/>
              <w:jc w:val="left"/>
              <w:rPr>
                <w:b/>
                <w:bCs/>
                <w:lang w:val="en-US"/>
              </w:rPr>
            </w:pPr>
            <w:r w:rsidRPr="00C8371D">
              <w:rPr>
                <w:b/>
                <w:bCs/>
                <w:lang w:val="en-US"/>
              </w:rPr>
              <w:t>Criteria</w:t>
            </w:r>
          </w:p>
        </w:tc>
        <w:tc>
          <w:tcPr>
            <w:tcW w:w="5306" w:type="dxa"/>
            <w:shd w:val="clear" w:color="auto" w:fill="BFB97F"/>
          </w:tcPr>
          <w:p w:rsidR="00C8371D" w:rsidRPr="00C8371D" w:rsidRDefault="00C8371D" w:rsidP="00C8371D">
            <w:pPr>
              <w:tabs>
                <w:tab w:val="left" w:pos="2160"/>
              </w:tabs>
              <w:spacing w:before="60" w:after="60"/>
              <w:ind w:left="2160" w:hanging="2160"/>
              <w:jc w:val="left"/>
              <w:rPr>
                <w:b/>
                <w:bCs/>
                <w:lang w:val="en-US"/>
              </w:rPr>
            </w:pPr>
            <w:r w:rsidRPr="00C8371D">
              <w:rPr>
                <w:b/>
                <w:bCs/>
                <w:lang w:val="en-US"/>
              </w:rPr>
              <w:t>Guidance</w:t>
            </w:r>
          </w:p>
        </w:tc>
      </w:tr>
      <w:tr w:rsidR="00C8371D" w:rsidRPr="00C8371D" w:rsidTr="003B39BD">
        <w:tc>
          <w:tcPr>
            <w:tcW w:w="3936" w:type="dxa"/>
          </w:tcPr>
          <w:p w:rsidR="00C8371D" w:rsidRPr="00C8371D" w:rsidRDefault="00C8371D" w:rsidP="00C8371D">
            <w:pPr>
              <w:numPr>
                <w:ilvl w:val="0"/>
                <w:numId w:val="13"/>
              </w:numPr>
              <w:spacing w:after="0" w:line="240" w:lineRule="auto"/>
              <w:ind w:left="567" w:hanging="4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sz w:val="20"/>
                <w:szCs w:val="20"/>
                <w:lang w:val="en-US"/>
              </w:rPr>
              <w:t>There is an integrated operations centre where hospital-wide care capacity and patient demand is visible in real time 24/7.</w:t>
            </w:r>
          </w:p>
        </w:tc>
        <w:tc>
          <w:tcPr>
            <w:tcW w:w="5306" w:type="dxa"/>
            <w:shd w:val="clear" w:color="auto" w:fill="E6E4CC"/>
          </w:tcPr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284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The organisation has electronic display of care capacity (staff and beds) and patient demand (numbers and acuity) in real time.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284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Patient flow, bed capacity and staff resource demand is visible for both acute and elective services. 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284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There is hourly, daily, weekly and monthly monitoring and review of care capacity variance and responses.</w:t>
            </w:r>
          </w:p>
        </w:tc>
      </w:tr>
      <w:tr w:rsidR="00C8371D" w:rsidRPr="00C8371D" w:rsidTr="003B39BD">
        <w:tc>
          <w:tcPr>
            <w:tcW w:w="3936" w:type="dxa"/>
          </w:tcPr>
          <w:p w:rsidR="00C8371D" w:rsidRPr="00C8371D" w:rsidRDefault="00C8371D" w:rsidP="00C8371D">
            <w:pPr>
              <w:numPr>
                <w:ilvl w:val="0"/>
                <w:numId w:val="13"/>
              </w:numPr>
              <w:spacing w:after="0" w:line="240" w:lineRule="auto"/>
              <w:ind w:left="567" w:hanging="4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sz w:val="20"/>
                <w:szCs w:val="20"/>
                <w:lang w:val="en-US"/>
              </w:rPr>
              <w:t>There is a suitably qualified and/or experienced person with authority, accountability and responsibility for managing staffing and patient flow 24/7.</w:t>
            </w:r>
          </w:p>
        </w:tc>
        <w:tc>
          <w:tcPr>
            <w:tcW w:w="5306" w:type="dxa"/>
            <w:shd w:val="clear" w:color="auto" w:fill="E6E4CC"/>
          </w:tcPr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284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This person has management responsibility for the operations centre.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284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This person receives orientation and training to the role, including the validated patient acuity system. 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284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Performance indicators for the role include accountability and reporting of care capacity demand management across the hospital.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284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This person is replaced when absent with suitably qualified and/or experienced person/s.</w:t>
            </w:r>
          </w:p>
        </w:tc>
      </w:tr>
      <w:tr w:rsidR="00C8371D" w:rsidRPr="00C8371D" w:rsidTr="003B39BD">
        <w:tc>
          <w:tcPr>
            <w:tcW w:w="3936" w:type="dxa"/>
          </w:tcPr>
          <w:p w:rsidR="00C8371D" w:rsidRPr="00C8371D" w:rsidRDefault="00C8371D" w:rsidP="00C8371D">
            <w:pPr>
              <w:numPr>
                <w:ilvl w:val="0"/>
                <w:numId w:val="13"/>
              </w:numPr>
              <w:spacing w:after="0" w:line="240" w:lineRule="auto"/>
              <w:ind w:left="567" w:hanging="425"/>
              <w:jc w:val="left"/>
              <w:rPr>
                <w:rFonts w:cs="Times New Roman"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sz w:val="20"/>
                <w:szCs w:val="20"/>
                <w:lang w:val="en-US"/>
              </w:rPr>
              <w:t>The organisation consistently matches staffing resource with patient demand on a shift by shift basis.</w:t>
            </w:r>
          </w:p>
        </w:tc>
        <w:tc>
          <w:tcPr>
            <w:tcW w:w="5306" w:type="dxa"/>
            <w:shd w:val="clear" w:color="auto" w:fill="E6E4CC"/>
          </w:tcPr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284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A Churchill </w:t>
            </w:r>
            <w:r w:rsidR="00CD470C">
              <w:rPr>
                <w:rFonts w:cs="Times New Roman"/>
                <w:i/>
                <w:sz w:val="20"/>
                <w:szCs w:val="20"/>
                <w:lang w:val="en-US"/>
              </w:rPr>
              <w:t>e</w:t>
            </w: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xercise has been held or determined not to be needed.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284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There are effective communication systems and working relationships to deliver coordinated management of care capacity and demand.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284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There is a functional multidisciplinary (MDT) operations meeting held at least daily.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284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The daily operations meeting follows a relevant and standardised format.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284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The daily operations meeting is attended by ward/unit managers (or delegate), duty nurse manager/s and operations managers and other members of the MDT. 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284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There are appropriate and timely actions to variance in care hours in real time.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284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 xml:space="preserve">Validated acuity data is used to forecast current and future shifts up to 24hrs in advance. 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284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A documented process is used to request and allocate staff for unplanned staffing shortfalls.</w:t>
            </w:r>
          </w:p>
          <w:p w:rsidR="00C8371D" w:rsidRPr="00C8371D" w:rsidRDefault="00C8371D" w:rsidP="00C8371D">
            <w:pPr>
              <w:numPr>
                <w:ilvl w:val="0"/>
                <w:numId w:val="7"/>
              </w:numPr>
              <w:spacing w:after="0" w:line="240" w:lineRule="auto"/>
              <w:ind w:left="459" w:hanging="284"/>
              <w:jc w:val="left"/>
              <w:rPr>
                <w:rFonts w:cs="Times New Roman"/>
                <w:i/>
                <w:sz w:val="20"/>
                <w:szCs w:val="20"/>
                <w:lang w:val="en-US"/>
              </w:rPr>
            </w:pPr>
            <w:r w:rsidRPr="00C8371D">
              <w:rPr>
                <w:rFonts w:cs="Times New Roman"/>
                <w:i/>
                <w:sz w:val="20"/>
                <w:szCs w:val="20"/>
                <w:lang w:val="en-US"/>
              </w:rPr>
              <w:t>Line managers periodically review the required staff mix and skill mix levels are being met.</w:t>
            </w:r>
          </w:p>
        </w:tc>
      </w:tr>
    </w:tbl>
    <w:p w:rsidR="00C8371D" w:rsidRPr="00C8371D" w:rsidRDefault="00C8371D" w:rsidP="00C8371D">
      <w:pPr>
        <w:jc w:val="left"/>
        <w:rPr>
          <w:lang w:val="en-US"/>
        </w:rPr>
      </w:pPr>
    </w:p>
    <w:p w:rsidR="004E6ABD" w:rsidRPr="00C8371D" w:rsidRDefault="004E6ABD" w:rsidP="00C8371D"/>
    <w:sectPr w:rsidR="004E6ABD" w:rsidRPr="00C8371D" w:rsidSect="00AB67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5" w:right="1440" w:bottom="993" w:left="1440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71D" w:rsidRDefault="00C8371D" w:rsidP="00D318E2">
      <w:r>
        <w:separator/>
      </w:r>
    </w:p>
  </w:endnote>
  <w:endnote w:type="continuationSeparator" w:id="0">
    <w:p w:rsidR="00C8371D" w:rsidRDefault="00C8371D" w:rsidP="00D3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E2" w:rsidRDefault="005D4D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BD" w:rsidRDefault="00DD350A" w:rsidP="004E6ABD">
    <w:pPr>
      <w:pStyle w:val="FooterText"/>
    </w:pPr>
    <w:r>
      <w:rPr>
        <w:noProof/>
        <w:lang w:eastAsia="en-NZ"/>
      </w:rPr>
      <w:drawing>
        <wp:anchor distT="0" distB="0" distL="114300" distR="114300" simplePos="0" relativeHeight="251692544" behindDoc="1" locked="0" layoutInCell="1" allowOverlap="1" wp14:anchorId="48E2AFB0" wp14:editId="3B7AD40C">
          <wp:simplePos x="0" y="0"/>
          <wp:positionH relativeFrom="page">
            <wp:posOffset>255905</wp:posOffset>
          </wp:positionH>
          <wp:positionV relativeFrom="page">
            <wp:posOffset>10041890</wp:posOffset>
          </wp:positionV>
          <wp:extent cx="7128000" cy="36000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9EA">
      <w:fldChar w:fldCharType="begin"/>
    </w:r>
    <w:r w:rsidR="004579EA">
      <w:instrText xml:space="preserve"> FILENAME \* MERGEFORMAT </w:instrText>
    </w:r>
    <w:r w:rsidR="004579EA">
      <w:fldChar w:fldCharType="separate"/>
    </w:r>
    <w:r w:rsidR="005D4DE2">
      <w:rPr>
        <w:noProof/>
      </w:rPr>
      <w:t>4.11 CCDM programme standards_18Apr2018</w:t>
    </w:r>
    <w:r w:rsidR="004579EA">
      <w:rPr>
        <w:noProof/>
      </w:rPr>
      <w:fldChar w:fldCharType="end"/>
    </w:r>
    <w:r w:rsidR="004E6ABD">
      <w:tab/>
    </w:r>
    <w:r w:rsidR="004E6ABD">
      <w:tab/>
    </w:r>
    <w:sdt>
      <w:sdtPr>
        <w:id w:val="146268275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081AC6">
              <w:tab/>
            </w:r>
            <w:r w:rsidR="00081AC6">
              <w:tab/>
            </w:r>
            <w:r w:rsidR="00081AC6">
              <w:tab/>
            </w:r>
            <w:r w:rsidR="004E6ABD">
              <w:t xml:space="preserve">Page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PAGE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4579EA">
              <w:rPr>
                <w:bCs/>
                <w:noProof/>
              </w:rPr>
              <w:t>8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  <w:r w:rsidR="004E6ABD">
              <w:t xml:space="preserve"> of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NUMPAGES 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4579EA">
              <w:rPr>
                <w:bCs/>
                <w:noProof/>
              </w:rPr>
              <w:t>8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4E6ABD" w:rsidRDefault="002B6695" w:rsidP="00FC4A50">
    <w:pPr>
      <w:pStyle w:val="Footer"/>
      <w:tabs>
        <w:tab w:val="clear" w:pos="4513"/>
        <w:tab w:val="clear" w:pos="9026"/>
        <w:tab w:val="center" w:pos="4510"/>
      </w:tabs>
    </w:pPr>
    <w:r w:rsidRPr="00C24226">
      <w:rPr>
        <w:sz w:val="20"/>
      </w:rPr>
      <w:t>© Ministry of Health</w:t>
    </w:r>
    <w:r w:rsidR="00F54F68">
      <w:rPr>
        <w:sz w:val="20"/>
      </w:rPr>
      <w:t>,</w:t>
    </w:r>
    <w:r w:rsidRPr="00C24226">
      <w:rPr>
        <w:sz w:val="20"/>
      </w:rPr>
      <w:t xml:space="preserve"> NZ 2017</w:t>
    </w:r>
    <w:r w:rsidR="00FC4A50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E2" w:rsidRDefault="005D4D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71D" w:rsidRDefault="00C8371D" w:rsidP="00D318E2">
      <w:r>
        <w:separator/>
      </w:r>
    </w:p>
  </w:footnote>
  <w:footnote w:type="continuationSeparator" w:id="0">
    <w:p w:rsidR="00C8371D" w:rsidRDefault="00C8371D" w:rsidP="00D31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E2" w:rsidRDefault="005D4D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BD" w:rsidRPr="00F54F68" w:rsidRDefault="00A26918" w:rsidP="004E6ABD">
    <w:pPr>
      <w:pStyle w:val="HeaderText"/>
      <w:rPr>
        <w:b w:val="0"/>
      </w:rPr>
    </w:pPr>
    <w:r w:rsidRPr="00F54F68">
      <w:rPr>
        <w:b w:val="0"/>
      </w:rPr>
      <w:t>CCDM</w:t>
    </w:r>
    <w:r w:rsidR="002B6695" w:rsidRPr="00F54F68">
      <w:rPr>
        <w:b w:val="0"/>
      </w:rPr>
      <w:t xml:space="preserve"> P</w:t>
    </w:r>
    <w:r w:rsidR="00D55472" w:rsidRPr="00F54F68">
      <w:rPr>
        <w:b w:val="0"/>
      </w:rPr>
      <w:t>ro</w:t>
    </w:r>
    <w:r w:rsidR="00F54F68" w:rsidRPr="00F54F68">
      <w:rPr>
        <w:b w:val="0"/>
      </w:rPr>
      <w:t>gramme</w:t>
    </w:r>
    <w:r w:rsidR="002C6766" w:rsidRPr="00F54F68">
      <w:rPr>
        <w:b w:val="0"/>
      </w:rPr>
      <w:tab/>
    </w:r>
    <w:r w:rsidR="002C6766" w:rsidRPr="00F54F68">
      <w:rPr>
        <w:b w:val="0"/>
      </w:rPr>
      <w:tab/>
    </w:r>
    <w:r w:rsidR="002C6766" w:rsidRPr="00F54F68">
      <w:rPr>
        <w:b w:val="0"/>
      </w:rPr>
      <w:tab/>
    </w:r>
    <w:r w:rsidR="002C6766" w:rsidRPr="00F54F68">
      <w:rPr>
        <w:b w:val="0"/>
      </w:rPr>
      <w:tab/>
    </w:r>
    <w:r w:rsidRPr="00F54F68">
      <w:rPr>
        <w:b w:val="0"/>
      </w:rPr>
      <w:tab/>
    </w:r>
    <w:r w:rsidR="00D55472" w:rsidRPr="00F54F68">
      <w:rPr>
        <w:b w:val="0"/>
      </w:rPr>
      <w:tab/>
    </w:r>
    <w:r w:rsidR="00D55472" w:rsidRPr="00F54F68">
      <w:rPr>
        <w:b w:val="0"/>
      </w:rPr>
      <w:tab/>
    </w:r>
    <w:r w:rsidR="00D55472" w:rsidRPr="00F54F68">
      <w:rPr>
        <w:b w:val="0"/>
      </w:rPr>
      <w:tab/>
      <w:t>CCDM governance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E2" w:rsidRDefault="005D4D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709A"/>
    <w:multiLevelType w:val="hybridMultilevel"/>
    <w:tmpl w:val="81C4A5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66451"/>
    <w:multiLevelType w:val="hybridMultilevel"/>
    <w:tmpl w:val="65B06D5C"/>
    <w:lvl w:ilvl="0" w:tplc="C6CC117E">
      <w:start w:val="1"/>
      <w:numFmt w:val="bullet"/>
      <w:pStyle w:val="Bullets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214474D"/>
    <w:multiLevelType w:val="hybridMultilevel"/>
    <w:tmpl w:val="5C4C4444"/>
    <w:lvl w:ilvl="0" w:tplc="55BA46E2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6F00EB"/>
    <w:multiLevelType w:val="hybridMultilevel"/>
    <w:tmpl w:val="FF0400C0"/>
    <w:lvl w:ilvl="0" w:tplc="9BCEBC5E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6F1B41"/>
    <w:multiLevelType w:val="hybridMultilevel"/>
    <w:tmpl w:val="67ACA06E"/>
    <w:lvl w:ilvl="0" w:tplc="053AE7BA">
      <w:start w:val="1"/>
      <w:numFmt w:val="decimal"/>
      <w:pStyle w:val="Numbering"/>
      <w:lvlText w:val="%1."/>
      <w:lvlJc w:val="left"/>
      <w:pPr>
        <w:ind w:left="720" w:hanging="360"/>
      </w:pPr>
      <w:rPr>
        <w:rFonts w:ascii="Segoe UI" w:hAnsi="Segoe UI" w:cs="Segoe UI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87C1F"/>
    <w:multiLevelType w:val="hybridMultilevel"/>
    <w:tmpl w:val="D79ABC84"/>
    <w:lvl w:ilvl="0" w:tplc="87E4A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C06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E1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2B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A0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A8C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29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83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90E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E1059"/>
    <w:multiLevelType w:val="hybridMultilevel"/>
    <w:tmpl w:val="73920D7A"/>
    <w:lvl w:ilvl="0" w:tplc="3544CFA6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FD401B"/>
    <w:multiLevelType w:val="hybridMultilevel"/>
    <w:tmpl w:val="3F006560"/>
    <w:lvl w:ilvl="0" w:tplc="BEB841B2">
      <w:start w:val="1"/>
      <w:numFmt w:val="bullet"/>
      <w:pStyle w:val="Bullet2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47F3251"/>
    <w:multiLevelType w:val="hybridMultilevel"/>
    <w:tmpl w:val="42C63316"/>
    <w:lvl w:ilvl="0" w:tplc="9F4A608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DA1450"/>
    <w:multiLevelType w:val="hybridMultilevel"/>
    <w:tmpl w:val="0A4AF9C4"/>
    <w:lvl w:ilvl="0" w:tplc="1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539" w:hanging="360"/>
      </w:pPr>
    </w:lvl>
    <w:lvl w:ilvl="2" w:tplc="1409001B" w:tentative="1">
      <w:start w:val="1"/>
      <w:numFmt w:val="lowerRoman"/>
      <w:lvlText w:val="%3."/>
      <w:lvlJc w:val="right"/>
      <w:pPr>
        <w:ind w:left="2259" w:hanging="180"/>
      </w:pPr>
    </w:lvl>
    <w:lvl w:ilvl="3" w:tplc="1409000F" w:tentative="1">
      <w:start w:val="1"/>
      <w:numFmt w:val="decimal"/>
      <w:lvlText w:val="%4."/>
      <w:lvlJc w:val="left"/>
      <w:pPr>
        <w:ind w:left="2979" w:hanging="360"/>
      </w:pPr>
    </w:lvl>
    <w:lvl w:ilvl="4" w:tplc="14090019" w:tentative="1">
      <w:start w:val="1"/>
      <w:numFmt w:val="lowerLetter"/>
      <w:lvlText w:val="%5."/>
      <w:lvlJc w:val="left"/>
      <w:pPr>
        <w:ind w:left="3699" w:hanging="360"/>
      </w:pPr>
    </w:lvl>
    <w:lvl w:ilvl="5" w:tplc="1409001B" w:tentative="1">
      <w:start w:val="1"/>
      <w:numFmt w:val="lowerRoman"/>
      <w:lvlText w:val="%6."/>
      <w:lvlJc w:val="right"/>
      <w:pPr>
        <w:ind w:left="4419" w:hanging="180"/>
      </w:pPr>
    </w:lvl>
    <w:lvl w:ilvl="6" w:tplc="1409000F" w:tentative="1">
      <w:start w:val="1"/>
      <w:numFmt w:val="decimal"/>
      <w:lvlText w:val="%7."/>
      <w:lvlJc w:val="left"/>
      <w:pPr>
        <w:ind w:left="5139" w:hanging="360"/>
      </w:pPr>
    </w:lvl>
    <w:lvl w:ilvl="7" w:tplc="14090019" w:tentative="1">
      <w:start w:val="1"/>
      <w:numFmt w:val="lowerLetter"/>
      <w:lvlText w:val="%8."/>
      <w:lvlJc w:val="left"/>
      <w:pPr>
        <w:ind w:left="5859" w:hanging="360"/>
      </w:pPr>
    </w:lvl>
    <w:lvl w:ilvl="8" w:tplc="1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7AD5174B"/>
    <w:multiLevelType w:val="hybridMultilevel"/>
    <w:tmpl w:val="92E61C42"/>
    <w:lvl w:ilvl="0" w:tplc="10C0D7C6">
      <w:start w:val="1"/>
      <w:numFmt w:val="decimal"/>
      <w:lvlText w:val="5.%1"/>
      <w:lvlJc w:val="left"/>
      <w:pPr>
        <w:ind w:left="57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98" w:hanging="360"/>
      </w:pPr>
    </w:lvl>
    <w:lvl w:ilvl="2" w:tplc="1409001B" w:tentative="1">
      <w:start w:val="1"/>
      <w:numFmt w:val="lowerRoman"/>
      <w:lvlText w:val="%3."/>
      <w:lvlJc w:val="right"/>
      <w:pPr>
        <w:ind w:left="2018" w:hanging="180"/>
      </w:pPr>
    </w:lvl>
    <w:lvl w:ilvl="3" w:tplc="1409000F" w:tentative="1">
      <w:start w:val="1"/>
      <w:numFmt w:val="decimal"/>
      <w:lvlText w:val="%4."/>
      <w:lvlJc w:val="left"/>
      <w:pPr>
        <w:ind w:left="2738" w:hanging="360"/>
      </w:pPr>
    </w:lvl>
    <w:lvl w:ilvl="4" w:tplc="14090019" w:tentative="1">
      <w:start w:val="1"/>
      <w:numFmt w:val="lowerLetter"/>
      <w:lvlText w:val="%5."/>
      <w:lvlJc w:val="left"/>
      <w:pPr>
        <w:ind w:left="3458" w:hanging="360"/>
      </w:pPr>
    </w:lvl>
    <w:lvl w:ilvl="5" w:tplc="1409001B" w:tentative="1">
      <w:start w:val="1"/>
      <w:numFmt w:val="lowerRoman"/>
      <w:lvlText w:val="%6."/>
      <w:lvlJc w:val="right"/>
      <w:pPr>
        <w:ind w:left="4178" w:hanging="180"/>
      </w:pPr>
    </w:lvl>
    <w:lvl w:ilvl="6" w:tplc="1409000F" w:tentative="1">
      <w:start w:val="1"/>
      <w:numFmt w:val="decimal"/>
      <w:lvlText w:val="%7."/>
      <w:lvlJc w:val="left"/>
      <w:pPr>
        <w:ind w:left="4898" w:hanging="360"/>
      </w:pPr>
    </w:lvl>
    <w:lvl w:ilvl="7" w:tplc="14090019" w:tentative="1">
      <w:start w:val="1"/>
      <w:numFmt w:val="lowerLetter"/>
      <w:lvlText w:val="%8."/>
      <w:lvlJc w:val="left"/>
      <w:pPr>
        <w:ind w:left="5618" w:hanging="360"/>
      </w:pPr>
    </w:lvl>
    <w:lvl w:ilvl="8" w:tplc="1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5"/>
  </w:num>
  <w:num w:numId="2">
    <w:abstractNumId w:val="4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1D"/>
    <w:rsid w:val="00081AC6"/>
    <w:rsid w:val="00162B35"/>
    <w:rsid w:val="002A4BA0"/>
    <w:rsid w:val="002B6695"/>
    <w:rsid w:val="002C6766"/>
    <w:rsid w:val="00316B68"/>
    <w:rsid w:val="004579EA"/>
    <w:rsid w:val="004E6ABD"/>
    <w:rsid w:val="00501245"/>
    <w:rsid w:val="005824D3"/>
    <w:rsid w:val="005B7D5B"/>
    <w:rsid w:val="005D4DE2"/>
    <w:rsid w:val="006E3CE1"/>
    <w:rsid w:val="00727F68"/>
    <w:rsid w:val="007D4966"/>
    <w:rsid w:val="00803DF8"/>
    <w:rsid w:val="00837FEE"/>
    <w:rsid w:val="00893A00"/>
    <w:rsid w:val="0089601C"/>
    <w:rsid w:val="00927E9E"/>
    <w:rsid w:val="009362E1"/>
    <w:rsid w:val="00987449"/>
    <w:rsid w:val="00A00945"/>
    <w:rsid w:val="00A26918"/>
    <w:rsid w:val="00AB67D2"/>
    <w:rsid w:val="00AE5194"/>
    <w:rsid w:val="00B255F0"/>
    <w:rsid w:val="00B66451"/>
    <w:rsid w:val="00BD6A68"/>
    <w:rsid w:val="00BE3DBF"/>
    <w:rsid w:val="00C22B82"/>
    <w:rsid w:val="00C24226"/>
    <w:rsid w:val="00C70E88"/>
    <w:rsid w:val="00C76051"/>
    <w:rsid w:val="00C8371D"/>
    <w:rsid w:val="00CD470C"/>
    <w:rsid w:val="00D318E2"/>
    <w:rsid w:val="00D55472"/>
    <w:rsid w:val="00DC4B2E"/>
    <w:rsid w:val="00DD350A"/>
    <w:rsid w:val="00DF0DEF"/>
    <w:rsid w:val="00E230DC"/>
    <w:rsid w:val="00EE4EA4"/>
    <w:rsid w:val="00F119B2"/>
    <w:rsid w:val="00F24B55"/>
    <w:rsid w:val="00F405C5"/>
    <w:rsid w:val="00F54F68"/>
    <w:rsid w:val="00FC4A50"/>
    <w:rsid w:val="00F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7A0A4FD6-61BE-4F30-87EB-6E7CB734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EA4"/>
    <w:pPr>
      <w:spacing w:after="120" w:line="276" w:lineRule="auto"/>
      <w:jc w:val="both"/>
    </w:pPr>
    <w:rPr>
      <w:rFonts w:cs="Segoe UI"/>
      <w:sz w:val="22"/>
      <w:szCs w:val="22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A68"/>
    <w:pPr>
      <w:keepNext/>
      <w:keepLines/>
      <w:spacing w:before="240" w:line="240" w:lineRule="auto"/>
      <w:outlineLvl w:val="0"/>
    </w:pPr>
    <w:rPr>
      <w:rFonts w:eastAsiaTheme="majorEastAsia" w:cs="Calibri"/>
      <w:bCs/>
      <w:color w:val="A79F53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48AA"/>
    <w:pPr>
      <w:spacing w:before="240" w:after="60" w:line="240" w:lineRule="auto"/>
      <w:outlineLvl w:val="1"/>
    </w:pPr>
    <w:rPr>
      <w:color w:val="A79F5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D48AA"/>
    <w:pPr>
      <w:spacing w:before="120" w:after="60"/>
      <w:outlineLvl w:val="2"/>
    </w:pPr>
    <w:rPr>
      <w:i/>
      <w:color w:val="A79F53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0DC"/>
    <w:pPr>
      <w:ind w:left="720"/>
      <w:outlineLvl w:val="3"/>
    </w:pPr>
    <w:rPr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E230DC"/>
    <w:pPr>
      <w:keepNext/>
      <w:keepLines/>
      <w:spacing w:before="200" w:after="0"/>
      <w:ind w:left="709"/>
      <w:outlineLvl w:val="4"/>
    </w:pPr>
    <w:rPr>
      <w:rFonts w:eastAsia="Times New Roman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0DC"/>
    <w:pPr>
      <w:keepNext/>
      <w:keepLines/>
      <w:spacing w:before="200" w:after="0"/>
      <w:outlineLvl w:val="6"/>
    </w:pPr>
    <w:rPr>
      <w:rFonts w:eastAsia="Times New Roman" w:cs="Times New Roman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0DC"/>
    <w:pPr>
      <w:keepNext/>
      <w:keepLines/>
      <w:spacing w:before="200" w:after="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0DC"/>
    <w:pPr>
      <w:keepNext/>
      <w:keepLines/>
      <w:spacing w:before="200" w:after="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E2"/>
  </w:style>
  <w:style w:type="paragraph" w:styleId="Footer">
    <w:name w:val="footer"/>
    <w:basedOn w:val="Normal"/>
    <w:link w:val="Foot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E2"/>
  </w:style>
  <w:style w:type="character" w:customStyle="1" w:styleId="Heading1Char">
    <w:name w:val="Heading 1 Char"/>
    <w:basedOn w:val="DefaultParagraphFont"/>
    <w:link w:val="Heading1"/>
    <w:uiPriority w:val="9"/>
    <w:rsid w:val="00BD6A68"/>
    <w:rPr>
      <w:rFonts w:eastAsiaTheme="majorEastAsia" w:cs="Calibri"/>
      <w:bCs/>
      <w:color w:val="A79F53"/>
      <w:sz w:val="44"/>
      <w:szCs w:val="32"/>
    </w:rPr>
  </w:style>
  <w:style w:type="paragraph" w:customStyle="1" w:styleId="Bullets">
    <w:name w:val="Bullets"/>
    <w:basedOn w:val="ListParagraph"/>
    <w:link w:val="BulletsChar"/>
    <w:qFormat/>
    <w:rsid w:val="00AE5194"/>
    <w:pPr>
      <w:numPr>
        <w:numId w:val="5"/>
      </w:numPr>
      <w:ind w:left="641" w:hanging="357"/>
    </w:pPr>
    <w:rPr>
      <w:rFonts w:asciiTheme="minorHAnsi" w:hAnsiTheme="minorHAnsi"/>
    </w:rPr>
  </w:style>
  <w:style w:type="character" w:customStyle="1" w:styleId="BulletsChar">
    <w:name w:val="Bullets Char"/>
    <w:basedOn w:val="DefaultParagraphFont"/>
    <w:link w:val="Bullets"/>
    <w:rsid w:val="00AE5194"/>
    <w:rPr>
      <w:rFonts w:asciiTheme="minorHAnsi" w:hAnsiTheme="minorHAnsi" w:cs="Segoe UI"/>
      <w:sz w:val="22"/>
      <w:szCs w:val="22"/>
    </w:rPr>
  </w:style>
  <w:style w:type="paragraph" w:styleId="ListParagraph">
    <w:name w:val="List Paragraph"/>
    <w:basedOn w:val="Normal"/>
    <w:uiPriority w:val="34"/>
    <w:rsid w:val="00E230DC"/>
    <w:pPr>
      <w:ind w:left="720"/>
      <w:contextualSpacing/>
    </w:pPr>
  </w:style>
  <w:style w:type="paragraph" w:customStyle="1" w:styleId="ItemHeading">
    <w:name w:val="Item Heading"/>
    <w:basedOn w:val="Normal"/>
    <w:qFormat/>
    <w:rsid w:val="002C6766"/>
    <w:rPr>
      <w:b/>
      <w:color w:val="BFB97F"/>
    </w:rPr>
  </w:style>
  <w:style w:type="paragraph" w:customStyle="1" w:styleId="HeaderText">
    <w:name w:val="Header Text"/>
    <w:basedOn w:val="Normal"/>
    <w:qFormat/>
    <w:rsid w:val="004E6ABD"/>
    <w:rPr>
      <w:b/>
      <w:sz w:val="20"/>
    </w:rPr>
  </w:style>
  <w:style w:type="paragraph" w:customStyle="1" w:styleId="FooterText">
    <w:name w:val="Footer Text"/>
    <w:basedOn w:val="HeaderText"/>
    <w:qFormat/>
    <w:rsid w:val="004E6ABD"/>
    <w:pPr>
      <w:spacing w:after="0"/>
    </w:pPr>
    <w:rPr>
      <w:color w:val="FFFFFF" w:themeColor="background1"/>
    </w:rPr>
  </w:style>
  <w:style w:type="paragraph" w:customStyle="1" w:styleId="InsideTablesHeading">
    <w:name w:val="Inside Tables Heading"/>
    <w:basedOn w:val="Normal"/>
    <w:qFormat/>
    <w:rsid w:val="00E230DC"/>
    <w:pPr>
      <w:tabs>
        <w:tab w:val="left" w:pos="2160"/>
      </w:tabs>
      <w:spacing w:before="60" w:after="60"/>
      <w:ind w:left="2160" w:hanging="2160"/>
    </w:pPr>
    <w:rPr>
      <w:b/>
      <w:bCs/>
    </w:rPr>
  </w:style>
  <w:style w:type="paragraph" w:customStyle="1" w:styleId="Numbering">
    <w:name w:val="Numbering"/>
    <w:basedOn w:val="ListParagraph"/>
    <w:qFormat/>
    <w:rsid w:val="00E230DC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D48AA"/>
    <w:rPr>
      <w:rFonts w:cs="Segoe UI"/>
      <w:color w:val="A79F5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D48AA"/>
    <w:rPr>
      <w:rFonts w:cs="Segoe UI"/>
      <w:i/>
      <w:color w:val="A79F53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30DC"/>
    <w:rPr>
      <w:rFonts w:cs="Segoe UI"/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30DC"/>
    <w:rPr>
      <w:rFonts w:eastAsia="Times New Roman" w:cs="Segoe UI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0DC"/>
    <w:rPr>
      <w:rFonts w:eastAsia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0DC"/>
    <w:rPr>
      <w:rFonts w:eastAsia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0DC"/>
    <w:rPr>
      <w:rFonts w:eastAsia="Times New Roman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0DC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362E1"/>
    <w:pPr>
      <w:spacing w:before="720" w:after="240"/>
    </w:pPr>
    <w:rPr>
      <w:rFonts w:cs="Calibri"/>
      <w:color w:val="FFFFFF" w:themeColor="background1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9362E1"/>
    <w:rPr>
      <w:rFonts w:cs="Calibri"/>
      <w:color w:val="FFFFFF" w:themeColor="background1"/>
      <w:sz w:val="5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6766"/>
    <w:rPr>
      <w:b/>
      <w:color w:val="BFB97F"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C6766"/>
    <w:rPr>
      <w:rFonts w:cs="Segoe UI"/>
      <w:b/>
      <w:color w:val="BFB97F"/>
      <w:sz w:val="32"/>
    </w:rPr>
  </w:style>
  <w:style w:type="character" w:styleId="Strong">
    <w:name w:val="Strong"/>
    <w:basedOn w:val="DefaultParagraphFont"/>
    <w:uiPriority w:val="22"/>
    <w:qFormat/>
    <w:rsid w:val="00E230DC"/>
    <w:rPr>
      <w:b/>
      <w:bCs/>
    </w:rPr>
  </w:style>
  <w:style w:type="character" w:styleId="Emphasis">
    <w:name w:val="Emphasis"/>
    <w:uiPriority w:val="20"/>
    <w:qFormat/>
    <w:rsid w:val="00E230DC"/>
    <w:rPr>
      <w:rFonts w:ascii="Calibri" w:hAnsi="Calibri" w:cs="Segoe UI"/>
      <w:color w:val="000000"/>
      <w:spacing w:val="30"/>
    </w:rPr>
  </w:style>
  <w:style w:type="paragraph" w:styleId="NoSpacing">
    <w:name w:val="No Spacing"/>
    <w:basedOn w:val="Normal"/>
    <w:link w:val="NoSpacingChar"/>
    <w:uiPriority w:val="99"/>
    <w:qFormat/>
    <w:rsid w:val="00E230D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rsid w:val="00E230DC"/>
  </w:style>
  <w:style w:type="paragraph" w:styleId="Quote">
    <w:name w:val="Quote"/>
    <w:basedOn w:val="Normal"/>
    <w:next w:val="Normal"/>
    <w:link w:val="QuoteChar"/>
    <w:uiPriority w:val="29"/>
    <w:qFormat/>
    <w:rsid w:val="00E230DC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230DC"/>
    <w:rPr>
      <w:rFonts w:cs="Segoe UI"/>
      <w:i/>
      <w:iCs/>
      <w:color w:val="000000"/>
    </w:rPr>
  </w:style>
  <w:style w:type="character" w:styleId="SubtleEmphasis">
    <w:name w:val="Subtle Emphasis"/>
    <w:basedOn w:val="DefaultParagraphFont"/>
    <w:uiPriority w:val="19"/>
    <w:qFormat/>
    <w:rsid w:val="00E230DC"/>
    <w:rPr>
      <w:rFonts w:ascii="Calibri" w:hAnsi="Calibri"/>
      <w:i/>
      <w:iCs/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0DC"/>
    <w:pPr>
      <w:spacing w:before="480" w:after="0"/>
      <w:outlineLvl w:val="9"/>
    </w:pPr>
    <w:rPr>
      <w:rFonts w:ascii="Cambria" w:eastAsia="Times New Roman" w:hAnsi="Cambria" w:cs="Times New Roman"/>
      <w:b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FD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FD48AA"/>
    <w:rPr>
      <w:color w:val="754E4E" w:themeColor="accent6" w:themeShade="BF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</w:style>
  <w:style w:type="table" w:styleId="MediumShading1-Accent6">
    <w:name w:val="Medium Shading 1 Accent 6"/>
    <w:basedOn w:val="TableNormal"/>
    <w:uiPriority w:val="63"/>
    <w:rsid w:val="00FD48AA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FD48AA"/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A0"/>
    <w:rPr>
      <w:rFonts w:ascii="Tahoma" w:hAnsi="Tahoma" w:cs="Tahoma"/>
      <w:sz w:val="16"/>
      <w:szCs w:val="16"/>
    </w:rPr>
  </w:style>
  <w:style w:type="paragraph" w:customStyle="1" w:styleId="Bullet2">
    <w:name w:val="Bullet 2"/>
    <w:basedOn w:val="Bullets"/>
    <w:link w:val="Bullet2Char"/>
    <w:qFormat/>
    <w:rsid w:val="00AE5194"/>
    <w:pPr>
      <w:numPr>
        <w:numId w:val="6"/>
      </w:numPr>
      <w:ind w:left="1037" w:hanging="357"/>
    </w:pPr>
  </w:style>
  <w:style w:type="character" w:customStyle="1" w:styleId="Bullet2Char">
    <w:name w:val="Bullet 2 Char"/>
    <w:basedOn w:val="BulletsChar"/>
    <w:link w:val="Bullet2"/>
    <w:rsid w:val="00AE5194"/>
    <w:rPr>
      <w:rFonts w:asciiTheme="minorHAnsi" w:hAnsiTheme="minorHAnsi" w:cs="Segoe U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inal%20Programme%20Resources\2016%20New%20Format\Page%20Templates\Councils%20Associated%20Document%20TEMPLATE%20.dotx" TargetMode="Externa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0AD57-8234-4BEA-A5A3-62AF8B12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Councils Associated Document TEMPLATE </Template>
  <TotalTime>26</TotalTime>
  <Pages>8</Pages>
  <Words>2047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DHB Shared Services</Company>
  <LinksUpToDate>false</LinksUpToDate>
  <CharactersWithSpaces>13694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Huia Swanson</dc:creator>
  <cp:lastModifiedBy>Megan Buckley</cp:lastModifiedBy>
  <cp:revision>8</cp:revision>
  <cp:lastPrinted>2017-09-17T20:17:00Z</cp:lastPrinted>
  <dcterms:created xsi:type="dcterms:W3CDTF">2018-04-11T01:19:00Z</dcterms:created>
  <dcterms:modified xsi:type="dcterms:W3CDTF">2018-05-09T04:19:00Z</dcterms:modified>
</cp:coreProperties>
</file>