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DC" w:rsidRPr="00206B49" w:rsidRDefault="00BC2BDB" w:rsidP="002A4BA0">
      <w:pPr>
        <w:pStyle w:val="Title"/>
        <w:rPr>
          <w:sz w:val="44"/>
        </w:rPr>
      </w:pPr>
      <w:r w:rsidRPr="00206B49">
        <w:rPr>
          <w:noProof/>
          <w:sz w:val="44"/>
          <w:lang w:val="en-NZ" w:eastAsia="en-NZ"/>
        </w:rPr>
        <w:drawing>
          <wp:anchor distT="0" distB="0" distL="114300" distR="114300" simplePos="0" relativeHeight="251668480" behindDoc="1" locked="0" layoutInCell="1" allowOverlap="1" wp14:anchorId="38B6D467" wp14:editId="79CB6FC6">
            <wp:simplePos x="0" y="0"/>
            <wp:positionH relativeFrom="page">
              <wp:posOffset>255905</wp:posOffset>
            </wp:positionH>
            <wp:positionV relativeFrom="page">
              <wp:posOffset>723900</wp:posOffset>
            </wp:positionV>
            <wp:extent cx="7048800" cy="878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800" cy="87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B49" w:rsidRPr="00206B49">
        <w:rPr>
          <w:sz w:val="44"/>
        </w:rPr>
        <w:t>Variance indicator standard operating procedure</w:t>
      </w:r>
    </w:p>
    <w:p w:rsidR="006F3D8B" w:rsidRPr="000A18C5" w:rsidRDefault="00F76887" w:rsidP="006F3D8B">
      <w:pPr>
        <w:keepNext/>
        <w:keepLines/>
        <w:spacing w:before="240" w:line="240" w:lineRule="auto"/>
        <w:jc w:val="left"/>
        <w:outlineLvl w:val="0"/>
        <w:rPr>
          <w:rFonts w:eastAsiaTheme="majorEastAsia" w:cs="Calibri"/>
          <w:bCs/>
          <w:color w:val="9B0000"/>
          <w:sz w:val="44"/>
          <w:szCs w:val="32"/>
        </w:rPr>
      </w:pPr>
      <w:r>
        <w:rPr>
          <w:rFonts w:eastAsiaTheme="majorEastAsia" w:cs="Calibri"/>
          <w:bCs/>
          <w:color w:val="9B0000"/>
          <w:sz w:val="44"/>
          <w:szCs w:val="32"/>
        </w:rPr>
        <w:t>The s</w:t>
      </w:r>
      <w:r w:rsidR="006F3D8B">
        <w:rPr>
          <w:rFonts w:eastAsiaTheme="majorEastAsia" w:cs="Calibri"/>
          <w:bCs/>
          <w:color w:val="9B0000"/>
          <w:sz w:val="44"/>
          <w:szCs w:val="32"/>
        </w:rPr>
        <w:t>tandard operating procedure take</w:t>
      </w:r>
      <w:r>
        <w:rPr>
          <w:rFonts w:eastAsiaTheme="majorEastAsia" w:cs="Calibri"/>
          <w:bCs/>
          <w:color w:val="9B0000"/>
          <w:sz w:val="44"/>
          <w:szCs w:val="32"/>
        </w:rPr>
        <w:t>s</w:t>
      </w:r>
      <w:r w:rsidR="006F3D8B">
        <w:rPr>
          <w:rFonts w:eastAsiaTheme="majorEastAsia" w:cs="Calibri"/>
          <w:bCs/>
          <w:color w:val="9B0000"/>
          <w:sz w:val="44"/>
          <w:szCs w:val="32"/>
        </w:rPr>
        <w:t xml:space="preserve"> the guess work out of responding to variance</w:t>
      </w:r>
    </w:p>
    <w:p w:rsidR="00512618" w:rsidRDefault="00206B49" w:rsidP="00512618">
      <w:pPr>
        <w:jc w:val="left"/>
        <w:rPr>
          <w:rFonts w:asciiTheme="minorHAnsi" w:hAnsiTheme="minorHAnsi"/>
        </w:rPr>
      </w:pPr>
      <w:r w:rsidRPr="00F07D2D">
        <w:t xml:space="preserve">The variance indicator </w:t>
      </w:r>
      <w:r>
        <w:t xml:space="preserve">standard operating procedure </w:t>
      </w:r>
      <w:r w:rsidR="00512618">
        <w:t>is a list</w:t>
      </w:r>
      <w:r>
        <w:t xml:space="preserve"> of standardised </w:t>
      </w:r>
      <w:r w:rsidR="00512618">
        <w:t>actions to respond</w:t>
      </w:r>
      <w:r>
        <w:t xml:space="preserve"> to variance.  </w:t>
      </w:r>
      <w:r w:rsidR="00512618">
        <w:t xml:space="preserve">It takes the guess work out of who does what, when. The list includes the main actions that need to be taken but is not necessarily everything. </w:t>
      </w:r>
      <w:r>
        <w:t xml:space="preserve">The standard operating procedure is used in response to the variance indicator </w:t>
      </w:r>
      <w:r w:rsidR="006F3D8B">
        <w:t>score</w:t>
      </w:r>
      <w:r>
        <w:t xml:space="preserve"> and resulting traffic light. </w:t>
      </w:r>
      <w:r w:rsidR="00512618">
        <w:rPr>
          <w:rFonts w:asciiTheme="minorHAnsi" w:hAnsiTheme="minorHAnsi"/>
        </w:rPr>
        <w:t xml:space="preserve">Depending on the traffic light colour there is a standard procedure to get the ward/unit back into green. </w:t>
      </w:r>
    </w:p>
    <w:p w:rsidR="00F76887" w:rsidRDefault="00F76887" w:rsidP="00955384">
      <w:pPr>
        <w:pStyle w:val="Heading1"/>
        <w:jc w:val="left"/>
      </w:pPr>
      <w:r>
        <w:t>The standard operating procedure is different for each team</w:t>
      </w:r>
    </w:p>
    <w:p w:rsidR="00F76887" w:rsidRDefault="00CB057A" w:rsidP="00F76887">
      <w:r>
        <w:t>There are three different procedures below that describe what actions are required for each team.</w:t>
      </w:r>
    </w:p>
    <w:p w:rsidR="006F3D8B" w:rsidRDefault="006F3D8B" w:rsidP="006F3D8B">
      <w:pPr>
        <w:pStyle w:val="Heading2"/>
      </w:pPr>
      <w:r>
        <w:t>Clinical team procedure</w:t>
      </w:r>
    </w:p>
    <w:p w:rsidR="006F3D8B" w:rsidRDefault="006F3D8B" w:rsidP="00955384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Clinical teams include the clinical manager, shift coordinator, and ward staff.</w:t>
      </w:r>
      <w:r w:rsidR="00F76887">
        <w:rPr>
          <w:rFonts w:asciiTheme="minorHAnsi" w:hAnsiTheme="minorHAnsi"/>
        </w:rPr>
        <w:t xml:space="preserve"> They routinely complete the following and have specific additional actions for the traffic light </w:t>
      </w:r>
      <w:proofErr w:type="spellStart"/>
      <w:r w:rsidR="00F76887">
        <w:rPr>
          <w:rFonts w:asciiTheme="minorHAnsi" w:hAnsiTheme="minorHAnsi"/>
        </w:rPr>
        <w:t>colours</w:t>
      </w:r>
      <w:proofErr w:type="spellEnd"/>
      <w:r w:rsidR="00F76887">
        <w:rPr>
          <w:rFonts w:asciiTheme="minorHAnsi" w:hAnsiTheme="minorHAnsi"/>
        </w:rPr>
        <w:t xml:space="preserve"> (see table 1).</w:t>
      </w:r>
    </w:p>
    <w:p w:rsidR="00F76887" w:rsidRPr="000F7A42" w:rsidRDefault="00F76887" w:rsidP="00955384">
      <w:pPr>
        <w:pStyle w:val="Bullets"/>
        <w:jc w:val="left"/>
        <w:rPr>
          <w:b/>
        </w:rPr>
      </w:pPr>
      <w:r w:rsidRPr="000F7A42">
        <w:t>Clinical manager determines plan for shift and communicates</w:t>
      </w:r>
    </w:p>
    <w:p w:rsidR="00F76887" w:rsidRPr="000F7A42" w:rsidRDefault="00F76887" w:rsidP="00955384">
      <w:pPr>
        <w:pStyle w:val="Bullets"/>
        <w:jc w:val="left"/>
        <w:rPr>
          <w:b/>
        </w:rPr>
      </w:pPr>
      <w:r w:rsidRPr="000F7A42">
        <w:t xml:space="preserve">Review </w:t>
      </w:r>
      <w:proofErr w:type="spellStart"/>
      <w:r w:rsidRPr="000F7A42">
        <w:t>CaaG</w:t>
      </w:r>
      <w:proofErr w:type="spellEnd"/>
      <w:r w:rsidRPr="000F7A42">
        <w:t xml:space="preserve"> for admissions, transfers (theatre and regions), discharges, and outliers that need repatriation to the ward/unit.</w:t>
      </w:r>
    </w:p>
    <w:p w:rsidR="008D69A4" w:rsidRPr="008D69A4" w:rsidRDefault="008D69A4" w:rsidP="00955384">
      <w:pPr>
        <w:pStyle w:val="Bullets"/>
        <w:jc w:val="left"/>
        <w:rPr>
          <w:b/>
        </w:rPr>
      </w:pPr>
      <w:r w:rsidRPr="000F7A42">
        <w:t xml:space="preserve">Review staffing for next 24 hours </w:t>
      </w:r>
    </w:p>
    <w:p w:rsidR="00F76887" w:rsidRPr="000F7A42" w:rsidRDefault="00683CDA" w:rsidP="00955384">
      <w:pPr>
        <w:pStyle w:val="Bullets"/>
        <w:jc w:val="left"/>
        <w:rPr>
          <w:b/>
        </w:rPr>
      </w:pPr>
      <w:r w:rsidRPr="000F7A42">
        <w:t>Negotiate staff breaks</w:t>
      </w:r>
      <w:r w:rsidR="00F76887" w:rsidRPr="000F7A42">
        <w:t xml:space="preserve"> and schedule into workloads</w:t>
      </w:r>
      <w:r w:rsidRPr="000F7A42">
        <w:t>.</w:t>
      </w:r>
    </w:p>
    <w:p w:rsidR="00F76887" w:rsidRPr="000F7A42" w:rsidRDefault="000F7A42" w:rsidP="00955384">
      <w:pPr>
        <w:pStyle w:val="Bullets"/>
        <w:jc w:val="left"/>
        <w:rPr>
          <w:b/>
        </w:rPr>
      </w:pPr>
      <w:r>
        <w:t>C</w:t>
      </w:r>
      <w:r w:rsidR="00F76887" w:rsidRPr="000F7A42">
        <w:t>heck TrendCare is correct</w:t>
      </w:r>
      <w:r w:rsidR="008D69A4">
        <w:t xml:space="preserve"> and is updated throughout the shift</w:t>
      </w:r>
      <w:r w:rsidR="00F76887" w:rsidRPr="000F7A42">
        <w:t xml:space="preserve"> (all patients predicted, roster pulled through, staff allocate screen adjusted if needed)</w:t>
      </w:r>
      <w:r w:rsidR="00683CDA" w:rsidRPr="000F7A42">
        <w:t>.</w:t>
      </w:r>
    </w:p>
    <w:p w:rsidR="00F76887" w:rsidRPr="009B6501" w:rsidRDefault="00F76887" w:rsidP="00955384">
      <w:pPr>
        <w:pStyle w:val="Bullets"/>
        <w:jc w:val="left"/>
        <w:rPr>
          <w:b/>
        </w:rPr>
      </w:pPr>
      <w:r w:rsidRPr="000F7A42">
        <w:t>Hold team huddle and complete variance indicator score</w:t>
      </w:r>
      <w:r w:rsidR="00683CDA" w:rsidRPr="000F7A42">
        <w:t xml:space="preserve">. </w:t>
      </w:r>
      <w:r w:rsidRPr="000F7A42">
        <w:t xml:space="preserve"> </w:t>
      </w:r>
    </w:p>
    <w:p w:rsidR="009B6501" w:rsidRPr="009B6501" w:rsidRDefault="009B6501" w:rsidP="00955384">
      <w:pPr>
        <w:pStyle w:val="Bullets"/>
        <w:jc w:val="left"/>
        <w:rPr>
          <w:b/>
        </w:rPr>
      </w:pPr>
      <w:r w:rsidRPr="000F7A42">
        <w:t>Expedite discharges and transfers</w:t>
      </w:r>
    </w:p>
    <w:p w:rsidR="00F76887" w:rsidRDefault="00F76887" w:rsidP="00955384">
      <w:pPr>
        <w:pStyle w:val="ItemHeading"/>
        <w:jc w:val="left"/>
      </w:pPr>
      <w:r>
        <w:t xml:space="preserve">Table </w:t>
      </w:r>
      <w:r w:rsidR="00EF6819">
        <w:fldChar w:fldCharType="begin"/>
      </w:r>
      <w:r w:rsidR="00EF6819">
        <w:instrText xml:space="preserve"> SEQ Table \* ARABIC </w:instrText>
      </w:r>
      <w:r w:rsidR="00EF6819">
        <w:fldChar w:fldCharType="separate"/>
      </w:r>
      <w:r w:rsidR="00161259">
        <w:rPr>
          <w:noProof/>
        </w:rPr>
        <w:t>1</w:t>
      </w:r>
      <w:r w:rsidR="00EF6819">
        <w:rPr>
          <w:noProof/>
        </w:rPr>
        <w:fldChar w:fldCharType="end"/>
      </w:r>
      <w:r>
        <w:t xml:space="preserve"> </w:t>
      </w:r>
      <w:r w:rsidR="00683CDA">
        <w:t>–</w:t>
      </w:r>
      <w:r>
        <w:t xml:space="preserve"> </w:t>
      </w:r>
      <w:r w:rsidR="00683CDA">
        <w:t>Additional a</w:t>
      </w:r>
      <w:r w:rsidR="000F7A42">
        <w:t>ctions for traffic light status</w:t>
      </w:r>
    </w:p>
    <w:tbl>
      <w:tblPr>
        <w:tblStyle w:val="TableGrid"/>
        <w:tblW w:w="0" w:type="auto"/>
        <w:tblBorders>
          <w:top w:val="single" w:sz="4" w:space="0" w:color="9B0000"/>
          <w:left w:val="single" w:sz="4" w:space="0" w:color="9B0000"/>
          <w:bottom w:val="single" w:sz="4" w:space="0" w:color="9B0000"/>
          <w:right w:val="single" w:sz="4" w:space="0" w:color="9B0000"/>
          <w:insideH w:val="single" w:sz="4" w:space="0" w:color="9B0000"/>
          <w:insideV w:val="single" w:sz="4" w:space="0" w:color="9B0000"/>
        </w:tblBorders>
        <w:tblLook w:val="04A0" w:firstRow="1" w:lastRow="0" w:firstColumn="1" w:lastColumn="0" w:noHBand="0" w:noVBand="1"/>
      </w:tblPr>
      <w:tblGrid>
        <w:gridCol w:w="1623"/>
        <w:gridCol w:w="7387"/>
      </w:tblGrid>
      <w:tr w:rsidR="006F3D8B" w:rsidRPr="00210D95" w:rsidTr="00F76887">
        <w:trPr>
          <w:tblHeader/>
        </w:trPr>
        <w:tc>
          <w:tcPr>
            <w:tcW w:w="1623" w:type="dxa"/>
            <w:shd w:val="clear" w:color="auto" w:fill="9B0000"/>
            <w:vAlign w:val="center"/>
          </w:tcPr>
          <w:p w:rsidR="006F3D8B" w:rsidRDefault="006F3D8B" w:rsidP="004D3173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Traffic light</w:t>
            </w:r>
          </w:p>
        </w:tc>
        <w:tc>
          <w:tcPr>
            <w:tcW w:w="7387" w:type="dxa"/>
            <w:shd w:val="clear" w:color="auto" w:fill="9B0000"/>
          </w:tcPr>
          <w:p w:rsidR="006F3D8B" w:rsidRPr="00210D95" w:rsidRDefault="006F3D8B" w:rsidP="004D3173">
            <w:r>
              <w:t>Actions</w:t>
            </w:r>
          </w:p>
        </w:tc>
      </w:tr>
      <w:tr w:rsidR="006F3D8B" w:rsidRPr="007F0665" w:rsidTr="00F76887">
        <w:tc>
          <w:tcPr>
            <w:tcW w:w="1623" w:type="dxa"/>
            <w:vAlign w:val="center"/>
          </w:tcPr>
          <w:p w:rsidR="00516069" w:rsidRDefault="00516069" w:rsidP="004D3173">
            <w:pPr>
              <w:spacing w:after="0"/>
              <w:jc w:val="center"/>
            </w:pPr>
            <w:r>
              <w:t>MAUVE</w:t>
            </w:r>
          </w:p>
          <w:p w:rsidR="006F3D8B" w:rsidRDefault="006F3D8B" w:rsidP="004D3173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34373B3D" wp14:editId="45E86090">
                  <wp:extent cx="438785" cy="43878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7" w:type="dxa"/>
          </w:tcPr>
          <w:p w:rsidR="00161259" w:rsidRPr="00161259" w:rsidRDefault="00161259" w:rsidP="008D69A4">
            <w:pPr>
              <w:pStyle w:val="Bullets"/>
              <w:numPr>
                <w:ilvl w:val="0"/>
                <w:numId w:val="0"/>
              </w:numPr>
              <w:rPr>
                <w:b/>
              </w:rPr>
            </w:pPr>
            <w:r>
              <w:t>Routine actions as listed above</w:t>
            </w:r>
          </w:p>
          <w:p w:rsidR="006F3D8B" w:rsidRPr="00210D95" w:rsidRDefault="0075192C" w:rsidP="004D3173">
            <w:pPr>
              <w:pStyle w:val="Bullets"/>
              <w:rPr>
                <w:b/>
              </w:rPr>
            </w:pPr>
            <w:r>
              <w:t>P</w:t>
            </w:r>
            <w:r w:rsidR="006F3D8B" w:rsidRPr="00210D95">
              <w:t>rovide staff training</w:t>
            </w:r>
            <w:r>
              <w:t xml:space="preserve"> as scheduled</w:t>
            </w:r>
          </w:p>
          <w:p w:rsidR="000F7A42" w:rsidRPr="00210D95" w:rsidRDefault="000F7A42" w:rsidP="000F7A42">
            <w:pPr>
              <w:pStyle w:val="Bullets"/>
              <w:rPr>
                <w:b/>
              </w:rPr>
            </w:pPr>
            <w:r>
              <w:t>Undertake</w:t>
            </w:r>
            <w:r w:rsidRPr="00210D95">
              <w:t xml:space="preserve"> quality improvement activities </w:t>
            </w:r>
          </w:p>
          <w:p w:rsidR="000F7A42" w:rsidRPr="000F7A42" w:rsidRDefault="000F7A42" w:rsidP="000F7A42">
            <w:pPr>
              <w:pStyle w:val="Bullets"/>
              <w:rPr>
                <w:b/>
              </w:rPr>
            </w:pPr>
            <w:r w:rsidRPr="000F7A42">
              <w:t>Update patient care/management plans and charts</w:t>
            </w:r>
          </w:p>
          <w:p w:rsidR="006F3D8B" w:rsidRPr="00210D95" w:rsidRDefault="006F3D8B" w:rsidP="004D3173">
            <w:pPr>
              <w:pStyle w:val="Bullets"/>
              <w:rPr>
                <w:b/>
              </w:rPr>
            </w:pPr>
            <w:r w:rsidRPr="00210D95">
              <w:t>Pull patients from outlying wards/units</w:t>
            </w:r>
          </w:p>
          <w:p w:rsidR="006F3D8B" w:rsidRPr="000F7A42" w:rsidRDefault="006F3D8B" w:rsidP="004D3173">
            <w:pPr>
              <w:pStyle w:val="Bullets"/>
              <w:rPr>
                <w:b/>
              </w:rPr>
            </w:pPr>
            <w:r w:rsidRPr="000F7A42">
              <w:t xml:space="preserve">Continue to care for outliers if it will assist other wards workload </w:t>
            </w:r>
          </w:p>
          <w:p w:rsidR="006F3D8B" w:rsidRDefault="006F3D8B" w:rsidP="004D3173">
            <w:pPr>
              <w:pStyle w:val="Bullets"/>
              <w:rPr>
                <w:b/>
              </w:rPr>
            </w:pPr>
            <w:r w:rsidRPr="00DE7E19">
              <w:t xml:space="preserve">Reallocate staff </w:t>
            </w:r>
            <w:r w:rsidR="0075192C">
              <w:t>to other ward/units</w:t>
            </w:r>
            <w:r w:rsidR="002B47C1">
              <w:t xml:space="preserve"> </w:t>
            </w:r>
            <w:r w:rsidR="0075192C">
              <w:t>as needed</w:t>
            </w:r>
            <w:r w:rsidRPr="00DE7E19">
              <w:t xml:space="preserve"> </w:t>
            </w:r>
          </w:p>
          <w:p w:rsidR="006F3D8B" w:rsidRPr="000F7A42" w:rsidRDefault="006F3D8B" w:rsidP="00683CDA">
            <w:pPr>
              <w:pStyle w:val="Bullets"/>
              <w:rPr>
                <w:b/>
              </w:rPr>
            </w:pPr>
            <w:r w:rsidRPr="007F0665">
              <w:t xml:space="preserve">Offer staff short </w:t>
            </w:r>
            <w:r w:rsidR="00683CDA">
              <w:t>notice</w:t>
            </w:r>
            <w:r w:rsidRPr="00850990">
              <w:rPr>
                <w:color w:val="FF0000"/>
              </w:rPr>
              <w:t xml:space="preserve"> </w:t>
            </w:r>
            <w:r w:rsidRPr="007F0665">
              <w:t xml:space="preserve">leave </w:t>
            </w:r>
            <w:r>
              <w:t xml:space="preserve">in consultation with </w:t>
            </w:r>
            <w:r w:rsidR="00683CDA">
              <w:t>Duty Nurse Manager</w:t>
            </w:r>
            <w:r w:rsidR="00955384">
              <w:t xml:space="preserve"> and line manager</w:t>
            </w:r>
          </w:p>
          <w:p w:rsidR="000F7A42" w:rsidRPr="000F7A42" w:rsidRDefault="000F7A42" w:rsidP="000F7A42">
            <w:pPr>
              <w:pStyle w:val="Bullets"/>
              <w:rPr>
                <w:b/>
              </w:rPr>
            </w:pPr>
            <w:r w:rsidRPr="000F7A42">
              <w:t>Respond to and manage unexpected events.</w:t>
            </w:r>
          </w:p>
          <w:p w:rsidR="000F7A42" w:rsidRPr="000F7A42" w:rsidRDefault="000F7A42" w:rsidP="000F7A42">
            <w:pPr>
              <w:pStyle w:val="Bullets"/>
              <w:rPr>
                <w:b/>
              </w:rPr>
            </w:pPr>
            <w:r w:rsidRPr="000F7A42">
              <w:lastRenderedPageBreak/>
              <w:t>Routine liaison with Duty Nurse Manager, medical and allied teams.</w:t>
            </w:r>
          </w:p>
        </w:tc>
      </w:tr>
      <w:tr w:rsidR="006F3D8B" w:rsidRPr="00210D95" w:rsidTr="00F76887">
        <w:tc>
          <w:tcPr>
            <w:tcW w:w="1623" w:type="dxa"/>
            <w:vAlign w:val="center"/>
          </w:tcPr>
          <w:p w:rsidR="00516069" w:rsidRDefault="00516069" w:rsidP="007A54D2">
            <w:pPr>
              <w:spacing w:after="0"/>
              <w:jc w:val="center"/>
            </w:pPr>
            <w:bookmarkStart w:id="0" w:name="_GoBack"/>
            <w:r>
              <w:lastRenderedPageBreak/>
              <w:t>G</w:t>
            </w:r>
            <w:bookmarkEnd w:id="0"/>
            <w:r>
              <w:t>REEN</w:t>
            </w:r>
          </w:p>
          <w:p w:rsidR="006F3D8B" w:rsidRDefault="006F3D8B" w:rsidP="007A54D2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721750CB" wp14:editId="0383822C">
                  <wp:extent cx="438785" cy="43878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7" w:type="dxa"/>
          </w:tcPr>
          <w:p w:rsidR="00161259" w:rsidRPr="00161259" w:rsidRDefault="00161259" w:rsidP="008D69A4">
            <w:pPr>
              <w:pStyle w:val="Bullets"/>
              <w:numPr>
                <w:ilvl w:val="0"/>
                <w:numId w:val="0"/>
              </w:numPr>
              <w:rPr>
                <w:b/>
              </w:rPr>
            </w:pPr>
            <w:r>
              <w:t>Routine actions as listed above</w:t>
            </w:r>
          </w:p>
          <w:p w:rsidR="006F3D8B" w:rsidRPr="00210D95" w:rsidRDefault="00683CDA" w:rsidP="004D3173">
            <w:pPr>
              <w:pStyle w:val="Bullets"/>
              <w:rPr>
                <w:b/>
              </w:rPr>
            </w:pPr>
            <w:r>
              <w:t>P</w:t>
            </w:r>
            <w:r w:rsidR="006F3D8B" w:rsidRPr="00210D95">
              <w:t>rovide staff training</w:t>
            </w:r>
            <w:r>
              <w:t xml:space="preserve"> as scheduled</w:t>
            </w:r>
          </w:p>
          <w:p w:rsidR="00683CDA" w:rsidRPr="00210D95" w:rsidRDefault="00683CDA" w:rsidP="00683CDA">
            <w:pPr>
              <w:pStyle w:val="Bullets"/>
              <w:rPr>
                <w:b/>
              </w:rPr>
            </w:pPr>
            <w:r>
              <w:t>Undertake</w:t>
            </w:r>
            <w:r w:rsidRPr="00210D95">
              <w:t xml:space="preserve"> quality improvement activities</w:t>
            </w:r>
            <w:r>
              <w:t>, as scheduled</w:t>
            </w:r>
            <w:r w:rsidRPr="00210D95">
              <w:t xml:space="preserve"> </w:t>
            </w:r>
          </w:p>
          <w:p w:rsidR="000F7A42" w:rsidRPr="000F7A42" w:rsidRDefault="000F7A42" w:rsidP="000F7A42">
            <w:pPr>
              <w:pStyle w:val="Bullets"/>
              <w:rPr>
                <w:b/>
              </w:rPr>
            </w:pPr>
            <w:r w:rsidRPr="000F7A42">
              <w:t>Expedite discharges and transfers</w:t>
            </w:r>
          </w:p>
          <w:p w:rsidR="000F7A42" w:rsidRPr="000F7A42" w:rsidRDefault="000F7A42" w:rsidP="000F7A42">
            <w:pPr>
              <w:pStyle w:val="Bullets"/>
              <w:rPr>
                <w:b/>
              </w:rPr>
            </w:pPr>
            <w:r w:rsidRPr="000F7A42">
              <w:t>Update patient care/management plans and charts</w:t>
            </w:r>
          </w:p>
          <w:p w:rsidR="006F3D8B" w:rsidRPr="00210D95" w:rsidRDefault="006F3D8B" w:rsidP="004D3173">
            <w:pPr>
              <w:pStyle w:val="Bullets"/>
              <w:rPr>
                <w:b/>
              </w:rPr>
            </w:pPr>
            <w:r w:rsidRPr="00210D95">
              <w:t>Pull patients from outlying wards/units</w:t>
            </w:r>
          </w:p>
          <w:p w:rsidR="006F3D8B" w:rsidRPr="00210D95" w:rsidRDefault="006F3D8B" w:rsidP="004D3173">
            <w:pPr>
              <w:pStyle w:val="Bullets"/>
              <w:rPr>
                <w:b/>
              </w:rPr>
            </w:pPr>
            <w:r w:rsidRPr="00210D95">
              <w:t xml:space="preserve">Accept admissions and ward transfers from wards needing to decant </w:t>
            </w:r>
          </w:p>
          <w:p w:rsidR="006F3D8B" w:rsidRPr="00210D95" w:rsidRDefault="006F3D8B" w:rsidP="004D3173">
            <w:pPr>
              <w:pStyle w:val="Bullets"/>
              <w:rPr>
                <w:b/>
              </w:rPr>
            </w:pPr>
            <w:r w:rsidRPr="00210D95">
              <w:t xml:space="preserve">Continue to care for outliers if it will assist other wards workload </w:t>
            </w:r>
          </w:p>
          <w:p w:rsidR="006F3D8B" w:rsidRPr="00210D95" w:rsidRDefault="006F3D8B" w:rsidP="004D3173">
            <w:pPr>
              <w:pStyle w:val="Bullets"/>
              <w:rPr>
                <w:b/>
              </w:rPr>
            </w:pPr>
            <w:r w:rsidRPr="00210D95">
              <w:t xml:space="preserve">Reallocate staff where required </w:t>
            </w:r>
          </w:p>
          <w:p w:rsidR="000F7A42" w:rsidRPr="000F7A42" w:rsidRDefault="000F7A42" w:rsidP="000F7A42">
            <w:pPr>
              <w:pStyle w:val="Bullets"/>
              <w:rPr>
                <w:b/>
              </w:rPr>
            </w:pPr>
            <w:r w:rsidRPr="000F7A42">
              <w:t>Respond to and manage unexpected events</w:t>
            </w:r>
          </w:p>
          <w:p w:rsidR="000F7A42" w:rsidRPr="000F7A42" w:rsidRDefault="000F7A42" w:rsidP="008D69A4">
            <w:pPr>
              <w:pStyle w:val="Bullets"/>
              <w:rPr>
                <w:b/>
              </w:rPr>
            </w:pPr>
            <w:r w:rsidRPr="000F7A42">
              <w:t>Routine liaison with Duty Nurse Manager, medical and allied teams</w:t>
            </w:r>
          </w:p>
        </w:tc>
      </w:tr>
      <w:tr w:rsidR="006F3D8B" w:rsidTr="00F76887">
        <w:tc>
          <w:tcPr>
            <w:tcW w:w="1623" w:type="dxa"/>
            <w:vAlign w:val="center"/>
          </w:tcPr>
          <w:p w:rsidR="006F3D8B" w:rsidRDefault="00516069" w:rsidP="004D3173">
            <w:pPr>
              <w:spacing w:after="0"/>
              <w:jc w:val="center"/>
              <w:rPr>
                <w:noProof/>
                <w:lang w:val="en-NZ" w:eastAsia="en-NZ"/>
              </w:rPr>
            </w:pPr>
            <w:r>
              <w:t>YELLOW</w:t>
            </w:r>
          </w:p>
          <w:p w:rsidR="00E6029E" w:rsidRDefault="00E6029E" w:rsidP="004D3173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mc:AlternateContent>
                <mc:Choice Requires="wps">
                  <w:drawing>
                    <wp:inline distT="0" distB="0" distL="0" distR="0" wp14:anchorId="1F8501CC" wp14:editId="4CA2BA90">
                      <wp:extent cx="419100" cy="400050"/>
                      <wp:effectExtent l="0" t="0" r="0" b="0"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479533" id="Oval 5" o:spid="_x0000_s1026" style="width:33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" fillcolor="#ffca08 [3204]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387" w:type="dxa"/>
          </w:tcPr>
          <w:p w:rsidR="00161259" w:rsidRDefault="00161259" w:rsidP="008D69A4">
            <w:pPr>
              <w:pStyle w:val="Bullets"/>
              <w:numPr>
                <w:ilvl w:val="0"/>
                <w:numId w:val="0"/>
              </w:numPr>
            </w:pPr>
            <w:r>
              <w:t>Routine actions as listed above</w:t>
            </w:r>
          </w:p>
          <w:p w:rsidR="008D69A4" w:rsidRDefault="008D69A4" w:rsidP="004D3173">
            <w:pPr>
              <w:pStyle w:val="Bullets"/>
            </w:pPr>
            <w:r>
              <w:t>Clinical manager on the floor coordinating</w:t>
            </w:r>
          </w:p>
          <w:p w:rsidR="006F3D8B" w:rsidRPr="00CA7868" w:rsidRDefault="006F3D8B" w:rsidP="004D3173">
            <w:pPr>
              <w:pStyle w:val="Bullets"/>
            </w:pPr>
            <w:r w:rsidRPr="00CA7868">
              <w:t xml:space="preserve">Redistribute workload allocation as </w:t>
            </w:r>
            <w:r w:rsidR="0075192C">
              <w:t>needed</w:t>
            </w:r>
          </w:p>
          <w:p w:rsidR="006F3D8B" w:rsidRPr="00CA7868" w:rsidRDefault="006F3D8B" w:rsidP="004D3173">
            <w:pPr>
              <w:pStyle w:val="Bullets"/>
            </w:pPr>
            <w:r w:rsidRPr="00CA7868">
              <w:t>Reprioritise patient care and management plans</w:t>
            </w:r>
          </w:p>
          <w:p w:rsidR="006F3D8B" w:rsidRPr="00CA7868" w:rsidRDefault="006F3D8B" w:rsidP="004D3173">
            <w:pPr>
              <w:pStyle w:val="Bullets"/>
            </w:pPr>
            <w:r w:rsidRPr="00CA7868">
              <w:t>Escalate to medical team any patients not seen in previous 24 hours</w:t>
            </w:r>
          </w:p>
          <w:p w:rsidR="006F3D8B" w:rsidRPr="00CA7868" w:rsidRDefault="00683CDA" w:rsidP="004D3173">
            <w:pPr>
              <w:pStyle w:val="Bullets"/>
            </w:pPr>
            <w:proofErr w:type="spellStart"/>
            <w:r>
              <w:t>Prioritise</w:t>
            </w:r>
            <w:proofErr w:type="spellEnd"/>
            <w:r w:rsidR="0075192C">
              <w:t xml:space="preserve"> discharges/transfers</w:t>
            </w:r>
            <w:r>
              <w:t xml:space="preserve"> with </w:t>
            </w:r>
            <w:r w:rsidR="009B6501">
              <w:t>the</w:t>
            </w:r>
            <w:r>
              <w:t xml:space="preserve"> medical and allied team</w:t>
            </w:r>
          </w:p>
          <w:p w:rsidR="006F3D8B" w:rsidRPr="00CA7868" w:rsidRDefault="006F3D8B" w:rsidP="004D3173">
            <w:pPr>
              <w:pStyle w:val="Bullets"/>
            </w:pPr>
            <w:r w:rsidRPr="00CA7868">
              <w:t xml:space="preserve">Negotiate staggering admissions </w:t>
            </w:r>
          </w:p>
          <w:p w:rsidR="006F3D8B" w:rsidRPr="00CA7868" w:rsidRDefault="006F3D8B" w:rsidP="004D3173">
            <w:pPr>
              <w:pStyle w:val="Bullets"/>
            </w:pPr>
            <w:r w:rsidRPr="00CA7868">
              <w:t xml:space="preserve">Assess need for additional </w:t>
            </w:r>
            <w:r w:rsidR="0075192C">
              <w:t>staff (</w:t>
            </w:r>
            <w:r w:rsidRPr="00CA7868">
              <w:t>part</w:t>
            </w:r>
            <w:r w:rsidR="0075192C">
              <w:t xml:space="preserve"> and/</w:t>
            </w:r>
            <w:r w:rsidRPr="00CA7868">
              <w:t>or full shifts</w:t>
            </w:r>
            <w:r w:rsidR="0075192C">
              <w:t>)</w:t>
            </w:r>
          </w:p>
          <w:p w:rsidR="006F3D8B" w:rsidRDefault="006F3D8B" w:rsidP="0075192C">
            <w:pPr>
              <w:pStyle w:val="Bullets"/>
            </w:pPr>
            <w:r w:rsidRPr="00CA7868">
              <w:t xml:space="preserve">Discuss </w:t>
            </w:r>
            <w:r w:rsidR="0075192C">
              <w:t xml:space="preserve">staff requests with </w:t>
            </w:r>
            <w:r w:rsidR="00683CDA">
              <w:t>Duty Nurse Manager</w:t>
            </w:r>
            <w:r w:rsidR="009B6501">
              <w:t xml:space="preserve"> and line manager</w:t>
            </w:r>
          </w:p>
          <w:p w:rsidR="000F7A42" w:rsidRPr="00CA7868" w:rsidRDefault="000F7A42" w:rsidP="0075192C">
            <w:pPr>
              <w:pStyle w:val="Bullets"/>
            </w:pPr>
            <w:r>
              <w:t>Alert Duty Nurse Manager if there are unexpected events</w:t>
            </w:r>
          </w:p>
          <w:p w:rsidR="006F3D8B" w:rsidRDefault="0075192C" w:rsidP="007A54D2">
            <w:pPr>
              <w:pStyle w:val="Bullets"/>
            </w:pPr>
            <w:r>
              <w:t xml:space="preserve">Have smart 5s and workload allocation ready for </w:t>
            </w:r>
            <w:r w:rsidR="006F3D8B" w:rsidRPr="00CA7868">
              <w:t>staff arrival</w:t>
            </w:r>
            <w:r>
              <w:t xml:space="preserve"> </w:t>
            </w:r>
          </w:p>
        </w:tc>
      </w:tr>
      <w:tr w:rsidR="006F3D8B" w:rsidTr="00F76887">
        <w:tc>
          <w:tcPr>
            <w:tcW w:w="1623" w:type="dxa"/>
            <w:vAlign w:val="center"/>
          </w:tcPr>
          <w:p w:rsidR="00516069" w:rsidRDefault="00516069" w:rsidP="004D3173">
            <w:pPr>
              <w:spacing w:after="0"/>
              <w:jc w:val="center"/>
            </w:pPr>
            <w:r>
              <w:t>ORANGE</w:t>
            </w:r>
          </w:p>
          <w:p w:rsidR="006F3D8B" w:rsidRDefault="006F3D8B" w:rsidP="004D3173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7161CB03" wp14:editId="4FB613F2">
                  <wp:extent cx="438785" cy="43878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7" w:type="dxa"/>
          </w:tcPr>
          <w:p w:rsidR="006F3D8B" w:rsidRDefault="006F3D8B" w:rsidP="004D3173">
            <w:pPr>
              <w:spacing w:after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 per yellow and:</w:t>
            </w:r>
          </w:p>
          <w:p w:rsidR="006F3D8B" w:rsidRPr="00B45612" w:rsidRDefault="006F3D8B" w:rsidP="004D3173">
            <w:pPr>
              <w:pStyle w:val="Bullets"/>
            </w:pPr>
            <w:r w:rsidRPr="00B45612">
              <w:t xml:space="preserve">Escalate variance to </w:t>
            </w:r>
            <w:r w:rsidR="000F7A42">
              <w:t>Duty Nurse Manager</w:t>
            </w:r>
            <w:r w:rsidR="009B6501">
              <w:t xml:space="preserve"> and line manager</w:t>
            </w:r>
            <w:r w:rsidRPr="00B45612">
              <w:t xml:space="preserve">, discuss </w:t>
            </w:r>
          </w:p>
          <w:p w:rsidR="006F3D8B" w:rsidRPr="00B45612" w:rsidRDefault="006F3D8B" w:rsidP="004D3173">
            <w:pPr>
              <w:pStyle w:val="Bullet2"/>
            </w:pPr>
            <w:r w:rsidRPr="00B45612">
              <w:t>implementation of the essential cares guidelines</w:t>
            </w:r>
          </w:p>
          <w:p w:rsidR="000F7A42" w:rsidRDefault="0075192C" w:rsidP="004D3173">
            <w:pPr>
              <w:pStyle w:val="Bullet2"/>
            </w:pPr>
            <w:r>
              <w:t>diverting admissions to other areas</w:t>
            </w:r>
          </w:p>
          <w:p w:rsidR="006F3D8B" w:rsidRPr="00B45612" w:rsidRDefault="000F7A42" w:rsidP="004D3173">
            <w:pPr>
              <w:pStyle w:val="Bullet2"/>
            </w:pPr>
            <w:r>
              <w:t>cancelling elective procedures</w:t>
            </w:r>
            <w:r w:rsidR="006F3D8B" w:rsidRPr="00B45612">
              <w:t xml:space="preserve"> </w:t>
            </w:r>
          </w:p>
          <w:p w:rsidR="000F7A42" w:rsidRDefault="000F7A42" w:rsidP="000F7A42">
            <w:pPr>
              <w:pStyle w:val="Bullets"/>
            </w:pPr>
            <w:r>
              <w:t>Cancel</w:t>
            </w:r>
            <w:r w:rsidRPr="00B45612">
              <w:t xml:space="preserve"> </w:t>
            </w:r>
            <w:r>
              <w:t>staff training</w:t>
            </w:r>
            <w:r w:rsidRPr="00B45612">
              <w:t xml:space="preserve"> sessions</w:t>
            </w:r>
          </w:p>
          <w:p w:rsidR="006F3D8B" w:rsidRPr="00B45612" w:rsidRDefault="006F3D8B" w:rsidP="004D3173">
            <w:pPr>
              <w:pStyle w:val="Bullets"/>
            </w:pPr>
            <w:r w:rsidRPr="00B45612">
              <w:t>Re-allocate non assigned nurses to clinical tasks</w:t>
            </w:r>
          </w:p>
          <w:p w:rsidR="006F3D8B" w:rsidRPr="00B45612" w:rsidRDefault="006F3D8B" w:rsidP="004D3173">
            <w:pPr>
              <w:pStyle w:val="Bullets"/>
            </w:pPr>
            <w:r w:rsidRPr="00B45612">
              <w:t>Inform patients and on-ward visitors of ward status</w:t>
            </w:r>
          </w:p>
          <w:p w:rsidR="007A54D2" w:rsidRDefault="007A54D2" w:rsidP="004D3173">
            <w:pPr>
              <w:pStyle w:val="Bullets"/>
            </w:pPr>
            <w:r w:rsidRPr="00FF4D2B">
              <w:t>Complete reportable event, once variance returned to green</w:t>
            </w:r>
          </w:p>
        </w:tc>
      </w:tr>
      <w:tr w:rsidR="006F3D8B" w:rsidTr="00F76887">
        <w:tc>
          <w:tcPr>
            <w:tcW w:w="1623" w:type="dxa"/>
            <w:vAlign w:val="center"/>
          </w:tcPr>
          <w:p w:rsidR="00516069" w:rsidRDefault="00516069" w:rsidP="004D3173">
            <w:pPr>
              <w:spacing w:after="0"/>
              <w:jc w:val="center"/>
            </w:pPr>
            <w:r>
              <w:t>RED</w:t>
            </w:r>
          </w:p>
          <w:p w:rsidR="006F3D8B" w:rsidRDefault="006F3D8B" w:rsidP="004D3173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705DCAFB" wp14:editId="5940F9B1">
                  <wp:extent cx="438785" cy="43878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7" w:type="dxa"/>
          </w:tcPr>
          <w:p w:rsidR="006F3D8B" w:rsidRDefault="006F3D8B" w:rsidP="004D3173">
            <w:r>
              <w:t>As per orange and:</w:t>
            </w:r>
          </w:p>
          <w:p w:rsidR="006F3D8B" w:rsidRDefault="006F3D8B" w:rsidP="004D3173">
            <w:pPr>
              <w:pStyle w:val="Bullets"/>
            </w:pPr>
            <w:r>
              <w:t xml:space="preserve">Mandatory </w:t>
            </w:r>
            <w:r w:rsidR="009B6501">
              <w:t>30 minute</w:t>
            </w:r>
            <w:r>
              <w:t xml:space="preserve"> reporting of variance to </w:t>
            </w:r>
            <w:r w:rsidR="000F7A42">
              <w:t>Duty Nurse Manager</w:t>
            </w:r>
            <w:r w:rsidR="009B6501">
              <w:t xml:space="preserve"> and line manager</w:t>
            </w:r>
            <w:r>
              <w:t xml:space="preserve"> </w:t>
            </w:r>
          </w:p>
          <w:p w:rsidR="006F3D8B" w:rsidRPr="009B6501" w:rsidRDefault="009B6501" w:rsidP="004D3173">
            <w:pPr>
              <w:pStyle w:val="Bullets"/>
            </w:pPr>
            <w:r w:rsidRPr="009B6501">
              <w:t>Stop admissions to ward/unit</w:t>
            </w:r>
          </w:p>
          <w:p w:rsidR="006F3D8B" w:rsidRDefault="006F3D8B" w:rsidP="009B6501">
            <w:pPr>
              <w:pStyle w:val="Bullets"/>
            </w:pPr>
            <w:r w:rsidRPr="009B6501">
              <w:t xml:space="preserve">Implement life and limb </w:t>
            </w:r>
            <w:r w:rsidR="009B6501" w:rsidRPr="009B6501">
              <w:t>policy, where applicable</w:t>
            </w:r>
          </w:p>
        </w:tc>
      </w:tr>
    </w:tbl>
    <w:p w:rsidR="006F3D8B" w:rsidRPr="006F3D8B" w:rsidRDefault="006F3D8B" w:rsidP="006F3D8B"/>
    <w:p w:rsidR="00033D18" w:rsidRDefault="00033D18" w:rsidP="006F3D8B">
      <w:pPr>
        <w:pStyle w:val="Heading2"/>
        <w:sectPr w:rsidR="00033D18" w:rsidSect="00AB67D2">
          <w:headerReference w:type="default" r:id="rId12"/>
          <w:footerReference w:type="default" r:id="rId13"/>
          <w:pgSz w:w="11900" w:h="16840"/>
          <w:pgMar w:top="1135" w:right="1440" w:bottom="993" w:left="1440" w:header="708" w:footer="136" w:gutter="0"/>
          <w:cols w:space="708"/>
          <w:docGrid w:linePitch="360"/>
        </w:sectPr>
      </w:pPr>
    </w:p>
    <w:p w:rsidR="006F3D8B" w:rsidRDefault="006F3D8B" w:rsidP="006F3D8B">
      <w:pPr>
        <w:pStyle w:val="Heading2"/>
      </w:pPr>
      <w:r>
        <w:lastRenderedPageBreak/>
        <w:t>Operations team procedure</w:t>
      </w:r>
    </w:p>
    <w:p w:rsidR="006F3D8B" w:rsidRDefault="006F3D8B">
      <w:pPr>
        <w:rPr>
          <w:rFonts w:asciiTheme="minorHAnsi" w:hAnsiTheme="minorHAnsi"/>
        </w:rPr>
      </w:pPr>
      <w:r>
        <w:rPr>
          <w:rFonts w:asciiTheme="minorHAnsi" w:hAnsiTheme="minorHAnsi"/>
        </w:rPr>
        <w:t>The operations team include</w:t>
      </w:r>
      <w:r w:rsidR="0051606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the integrated operation center manager, service and/or operations managers, and clinical leaders such as the duty nurse manager, nurse unit managers, emergency management role, allied leaders and re</w:t>
      </w:r>
      <w:r w:rsidR="00516069">
        <w:rPr>
          <w:rFonts w:asciiTheme="minorHAnsi" w:hAnsiTheme="minorHAnsi"/>
        </w:rPr>
        <w:t>presentatives from ward support</w:t>
      </w:r>
      <w:r w:rsidR="000F7A42">
        <w:rPr>
          <w:rFonts w:asciiTheme="minorHAnsi" w:hAnsiTheme="minorHAnsi"/>
        </w:rPr>
        <w:t>.</w:t>
      </w:r>
    </w:p>
    <w:p w:rsidR="000F7A42" w:rsidRDefault="000F7A42" w:rsidP="000F7A42">
      <w:pPr>
        <w:rPr>
          <w:rFonts w:asciiTheme="minorHAnsi" w:hAnsiTheme="minorHAnsi"/>
        </w:rPr>
      </w:pPr>
      <w:r>
        <w:rPr>
          <w:rFonts w:asciiTheme="minorHAnsi" w:hAnsiTheme="minorHAnsi"/>
        </w:rPr>
        <w:t>They routinely complete the following and have specific additiona</w:t>
      </w:r>
      <w:r w:rsidR="00831EF4">
        <w:rPr>
          <w:rFonts w:asciiTheme="minorHAnsi" w:hAnsiTheme="minorHAnsi"/>
        </w:rPr>
        <w:t>l actions for each wards/units</w:t>
      </w:r>
      <w:r>
        <w:rPr>
          <w:rFonts w:asciiTheme="minorHAnsi" w:hAnsiTheme="minorHAnsi"/>
        </w:rPr>
        <w:t xml:space="preserve"> traffic light status</w:t>
      </w:r>
      <w:r w:rsidR="00831EF4">
        <w:rPr>
          <w:rFonts w:asciiTheme="minorHAnsi" w:hAnsiTheme="minorHAnsi"/>
        </w:rPr>
        <w:t xml:space="preserve"> (see table 2</w:t>
      </w:r>
      <w:r>
        <w:rPr>
          <w:rFonts w:asciiTheme="minorHAnsi" w:hAnsiTheme="minorHAnsi"/>
        </w:rPr>
        <w:t>).</w:t>
      </w:r>
    </w:p>
    <w:p w:rsidR="000F7A42" w:rsidRPr="000F7A42" w:rsidRDefault="00831EF4" w:rsidP="000F7A42">
      <w:pPr>
        <w:pStyle w:val="Bullets"/>
        <w:rPr>
          <w:b/>
        </w:rPr>
      </w:pPr>
      <w:r>
        <w:t>Operations centre manager/designated delegate</w:t>
      </w:r>
      <w:r w:rsidR="000F7A42" w:rsidRPr="000F7A42">
        <w:t xml:space="preserve"> determines plan for shift and communicates</w:t>
      </w:r>
    </w:p>
    <w:p w:rsidR="00831EF4" w:rsidRPr="000F7A42" w:rsidRDefault="00831EF4" w:rsidP="00831EF4">
      <w:pPr>
        <w:pStyle w:val="Bullets"/>
        <w:rPr>
          <w:b/>
        </w:rPr>
      </w:pPr>
      <w:r w:rsidRPr="000F7A42">
        <w:t xml:space="preserve">Review </w:t>
      </w:r>
      <w:proofErr w:type="spellStart"/>
      <w:r w:rsidRPr="000F7A42">
        <w:t>CaaG</w:t>
      </w:r>
      <w:proofErr w:type="spellEnd"/>
      <w:r w:rsidRPr="000F7A42">
        <w:t xml:space="preserve"> for admissions, transfers (theatre and regions), discharges, and outliers that need repatriation</w:t>
      </w:r>
      <w:r>
        <w:t xml:space="preserve"> to ward/unit</w:t>
      </w:r>
      <w:r w:rsidRPr="000F7A42">
        <w:t>.</w:t>
      </w:r>
    </w:p>
    <w:p w:rsidR="000F7A42" w:rsidRPr="000F7A42" w:rsidRDefault="000F7A42" w:rsidP="000F7A42">
      <w:pPr>
        <w:pStyle w:val="Bullets"/>
        <w:rPr>
          <w:b/>
        </w:rPr>
      </w:pPr>
      <w:r w:rsidRPr="000F7A42">
        <w:t>Review staffing for next 24 hours</w:t>
      </w:r>
    </w:p>
    <w:p w:rsidR="000F7A42" w:rsidRPr="000F7A42" w:rsidRDefault="000F7A42" w:rsidP="000F7A42">
      <w:pPr>
        <w:pStyle w:val="Bullets"/>
        <w:rPr>
          <w:b/>
        </w:rPr>
      </w:pPr>
      <w:r>
        <w:t>C</w:t>
      </w:r>
      <w:r w:rsidRPr="000F7A42">
        <w:t xml:space="preserve">heck TrendCare is </w:t>
      </w:r>
      <w:r w:rsidR="009B6501">
        <w:t>accurate and up to date. Follow-up with ward/unit coordinator, as needed.</w:t>
      </w:r>
    </w:p>
    <w:p w:rsidR="000F7A42" w:rsidRPr="000F7A42" w:rsidRDefault="000F7A42" w:rsidP="000F7A42">
      <w:pPr>
        <w:pStyle w:val="Bullets"/>
        <w:rPr>
          <w:b/>
        </w:rPr>
      </w:pPr>
      <w:r w:rsidRPr="000F7A42">
        <w:t xml:space="preserve">Update TrendCare and </w:t>
      </w:r>
      <w:r w:rsidR="00831EF4">
        <w:t>staff</w:t>
      </w:r>
      <w:r w:rsidRPr="000F7A42">
        <w:t xml:space="preserve"> allocation a</w:t>
      </w:r>
      <w:r w:rsidR="009B6501">
        <w:t>s needed, throughout the shift (bureau, casual, staff movement between wards).</w:t>
      </w:r>
    </w:p>
    <w:p w:rsidR="00516A38" w:rsidRPr="00516A38" w:rsidRDefault="00831EF4" w:rsidP="000F7A42">
      <w:pPr>
        <w:pStyle w:val="Bullets"/>
        <w:rPr>
          <w:b/>
        </w:rPr>
      </w:pPr>
      <w:r>
        <w:t xml:space="preserve">Check </w:t>
      </w:r>
      <w:r w:rsidRPr="000F7A42">
        <w:t xml:space="preserve">variance indicator score </w:t>
      </w:r>
      <w:r w:rsidR="000F7A42" w:rsidRPr="000F7A42">
        <w:t>complete</w:t>
      </w:r>
      <w:r>
        <w:t>d for each ward/unit</w:t>
      </w:r>
      <w:r w:rsidR="000F7A42" w:rsidRPr="000F7A42">
        <w:t xml:space="preserve">. </w:t>
      </w:r>
    </w:p>
    <w:p w:rsidR="000F7A42" w:rsidRDefault="000F7A42" w:rsidP="000F7A42">
      <w:pPr>
        <w:pStyle w:val="ItemHeading"/>
      </w:pPr>
      <w:r>
        <w:t xml:space="preserve">Table </w:t>
      </w:r>
      <w:r w:rsidR="00EF6819">
        <w:fldChar w:fldCharType="begin"/>
      </w:r>
      <w:r w:rsidR="00EF6819">
        <w:instrText xml:space="preserve"> SEQ Table \* ARABIC </w:instrText>
      </w:r>
      <w:r w:rsidR="00EF6819">
        <w:fldChar w:fldCharType="separate"/>
      </w:r>
      <w:r w:rsidR="00161259">
        <w:rPr>
          <w:noProof/>
        </w:rPr>
        <w:t>2</w:t>
      </w:r>
      <w:r w:rsidR="00EF6819">
        <w:rPr>
          <w:noProof/>
        </w:rPr>
        <w:fldChar w:fldCharType="end"/>
      </w:r>
      <w:r>
        <w:t xml:space="preserve"> - Additional actions for traffic light status</w:t>
      </w:r>
    </w:p>
    <w:tbl>
      <w:tblPr>
        <w:tblStyle w:val="TableGrid"/>
        <w:tblW w:w="0" w:type="auto"/>
        <w:tblBorders>
          <w:top w:val="single" w:sz="4" w:space="0" w:color="9B0000"/>
          <w:left w:val="single" w:sz="4" w:space="0" w:color="9B0000"/>
          <w:bottom w:val="single" w:sz="4" w:space="0" w:color="9B0000"/>
          <w:right w:val="single" w:sz="4" w:space="0" w:color="9B0000"/>
          <w:insideH w:val="single" w:sz="4" w:space="0" w:color="9B0000"/>
          <w:insideV w:val="single" w:sz="4" w:space="0" w:color="9B0000"/>
        </w:tblBorders>
        <w:tblLook w:val="04A0" w:firstRow="1" w:lastRow="0" w:firstColumn="1" w:lastColumn="0" w:noHBand="0" w:noVBand="1"/>
      </w:tblPr>
      <w:tblGrid>
        <w:gridCol w:w="1608"/>
        <w:gridCol w:w="7402"/>
      </w:tblGrid>
      <w:tr w:rsidR="006F3D8B" w:rsidRPr="00210D95" w:rsidTr="000F7A42">
        <w:trPr>
          <w:tblHeader/>
        </w:trPr>
        <w:tc>
          <w:tcPr>
            <w:tcW w:w="1608" w:type="dxa"/>
            <w:shd w:val="clear" w:color="auto" w:fill="9B0000"/>
            <w:vAlign w:val="center"/>
          </w:tcPr>
          <w:p w:rsidR="006F3D8B" w:rsidRDefault="006F3D8B" w:rsidP="004D3173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Traffic light</w:t>
            </w:r>
          </w:p>
        </w:tc>
        <w:tc>
          <w:tcPr>
            <w:tcW w:w="7402" w:type="dxa"/>
            <w:shd w:val="clear" w:color="auto" w:fill="9B0000"/>
          </w:tcPr>
          <w:p w:rsidR="006F3D8B" w:rsidRPr="00210D95" w:rsidRDefault="006F3D8B" w:rsidP="004D3173">
            <w:r>
              <w:t>Actions</w:t>
            </w:r>
          </w:p>
        </w:tc>
      </w:tr>
      <w:tr w:rsidR="001F1E3E" w:rsidRPr="007F0665" w:rsidTr="000F7A42">
        <w:tc>
          <w:tcPr>
            <w:tcW w:w="1608" w:type="dxa"/>
            <w:vAlign w:val="center"/>
          </w:tcPr>
          <w:p w:rsidR="001F1E3E" w:rsidRDefault="001F1E3E" w:rsidP="001F1E3E">
            <w:pPr>
              <w:spacing w:after="0"/>
              <w:jc w:val="center"/>
            </w:pPr>
            <w:r>
              <w:t>MAUVE</w:t>
            </w:r>
          </w:p>
          <w:p w:rsidR="001F1E3E" w:rsidRDefault="001F1E3E" w:rsidP="001F1E3E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4DFE57D7" wp14:editId="317CC0A7">
                  <wp:extent cx="438785" cy="43878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</w:tcPr>
          <w:p w:rsidR="00831EF4" w:rsidRDefault="00955384" w:rsidP="009B6501">
            <w:pPr>
              <w:pStyle w:val="Bullets"/>
              <w:numPr>
                <w:ilvl w:val="0"/>
                <w:numId w:val="0"/>
              </w:numPr>
            </w:pPr>
            <w:r>
              <w:t xml:space="preserve">Routine actions as listed above </w:t>
            </w:r>
            <w:r w:rsidR="00831EF4">
              <w:t xml:space="preserve">and </w:t>
            </w:r>
            <w:r w:rsidR="00831EF4" w:rsidRPr="00E51D6F">
              <w:t xml:space="preserve">liaison with </w:t>
            </w:r>
            <w:r w:rsidR="00831EF4">
              <w:t>clinical teams</w:t>
            </w:r>
          </w:p>
          <w:p w:rsidR="001F1E3E" w:rsidRPr="00FC158F" w:rsidRDefault="001F1E3E" w:rsidP="001F1E3E">
            <w:pPr>
              <w:pStyle w:val="Bullets"/>
              <w:rPr>
                <w:b/>
              </w:rPr>
            </w:pPr>
            <w:r w:rsidRPr="00FC158F">
              <w:t xml:space="preserve">Consider </w:t>
            </w:r>
            <w:r w:rsidR="00831EF4">
              <w:t>scheduling additional</w:t>
            </w:r>
            <w:r w:rsidR="00F76887">
              <w:t xml:space="preserve"> planned</w:t>
            </w:r>
            <w:r w:rsidRPr="00FC158F">
              <w:t xml:space="preserve"> </w:t>
            </w:r>
            <w:r w:rsidRPr="00831EF4">
              <w:t>treatments</w:t>
            </w:r>
            <w:r w:rsidR="00A96F41" w:rsidRPr="00831EF4">
              <w:t xml:space="preserve"> </w:t>
            </w:r>
            <w:r w:rsidR="00F76887" w:rsidRPr="00831EF4">
              <w:t>e.g. transfusions</w:t>
            </w:r>
          </w:p>
          <w:p w:rsidR="001F1E3E" w:rsidRDefault="001F1E3E" w:rsidP="001F1E3E">
            <w:pPr>
              <w:pStyle w:val="Bullets"/>
              <w:rPr>
                <w:b/>
              </w:rPr>
            </w:pPr>
            <w:r w:rsidRPr="00FC158F">
              <w:t xml:space="preserve">Review all sites and reallocate staff across sites </w:t>
            </w:r>
            <w:r>
              <w:t>if appropriate</w:t>
            </w:r>
          </w:p>
          <w:p w:rsidR="001F1E3E" w:rsidRPr="00E51D6F" w:rsidRDefault="00516A38" w:rsidP="00516A38">
            <w:pPr>
              <w:pStyle w:val="Bullets"/>
              <w:rPr>
                <w:b/>
              </w:rPr>
            </w:pPr>
            <w:r>
              <w:t>R</w:t>
            </w:r>
            <w:r w:rsidR="001F1E3E" w:rsidRPr="00E51D6F">
              <w:t>eallocate staff to areas of greater need</w:t>
            </w:r>
          </w:p>
          <w:p w:rsidR="001F1E3E" w:rsidRDefault="001F1E3E" w:rsidP="00516A38">
            <w:pPr>
              <w:pStyle w:val="Bullets"/>
              <w:rPr>
                <w:b/>
              </w:rPr>
            </w:pPr>
            <w:r>
              <w:t>Close beds/ward/unit</w:t>
            </w:r>
          </w:p>
          <w:p w:rsidR="00831EF4" w:rsidRPr="00831EF4" w:rsidRDefault="001F1E3E" w:rsidP="00516A38">
            <w:pPr>
              <w:pStyle w:val="Bullets"/>
              <w:rPr>
                <w:b/>
              </w:rPr>
            </w:pPr>
            <w:r>
              <w:t xml:space="preserve">Offer wards/units </w:t>
            </w:r>
            <w:r w:rsidR="009B6501">
              <w:t xml:space="preserve">staff </w:t>
            </w:r>
            <w:r w:rsidRPr="00F76887">
              <w:t>short notice leave</w:t>
            </w:r>
          </w:p>
        </w:tc>
      </w:tr>
      <w:tr w:rsidR="001F1E3E" w:rsidRPr="00210D95" w:rsidTr="000F7A42">
        <w:tc>
          <w:tcPr>
            <w:tcW w:w="1608" w:type="dxa"/>
            <w:vAlign w:val="center"/>
          </w:tcPr>
          <w:p w:rsidR="001F1E3E" w:rsidRDefault="001F1E3E" w:rsidP="001F1E3E">
            <w:pPr>
              <w:spacing w:after="0"/>
              <w:jc w:val="center"/>
            </w:pPr>
            <w:r>
              <w:t>GREEN</w:t>
            </w:r>
          </w:p>
          <w:p w:rsidR="001F1E3E" w:rsidRDefault="001F1E3E" w:rsidP="001F1E3E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7B9611A7" wp14:editId="47302050">
                  <wp:extent cx="438785" cy="43878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</w:tcPr>
          <w:p w:rsidR="001F1E3E" w:rsidRDefault="00955384" w:rsidP="009B6501">
            <w:pPr>
              <w:pStyle w:val="Bullets"/>
              <w:numPr>
                <w:ilvl w:val="0"/>
                <w:numId w:val="0"/>
              </w:numPr>
            </w:pPr>
            <w:r>
              <w:t xml:space="preserve">Routine actions as listed </w:t>
            </w:r>
            <w:r w:rsidR="00831EF4">
              <w:t xml:space="preserve">above </w:t>
            </w:r>
            <w:r w:rsidR="001F1E3E">
              <w:t xml:space="preserve">and </w:t>
            </w:r>
            <w:r w:rsidR="001F1E3E" w:rsidRPr="00E51D6F">
              <w:t xml:space="preserve">liaison with </w:t>
            </w:r>
            <w:r w:rsidR="001F1E3E">
              <w:t>clinical teams</w:t>
            </w:r>
          </w:p>
          <w:p w:rsidR="000F7A42" w:rsidRPr="0016713D" w:rsidRDefault="0016713D" w:rsidP="00831EF4">
            <w:pPr>
              <w:pStyle w:val="Bullets"/>
            </w:pPr>
            <w:r w:rsidRPr="0016713D">
              <w:t>For</w:t>
            </w:r>
            <w:r>
              <w:t>e</w:t>
            </w:r>
            <w:r w:rsidRPr="0016713D">
              <w:t>cast</w:t>
            </w:r>
            <w:r>
              <w:t>ing for next 24 hours (staffing and</w:t>
            </w:r>
            <w:r w:rsidRPr="0016713D">
              <w:t xml:space="preserve"> patient demand)</w:t>
            </w:r>
          </w:p>
        </w:tc>
      </w:tr>
      <w:tr w:rsidR="001F1E3E" w:rsidTr="000F7A42">
        <w:tc>
          <w:tcPr>
            <w:tcW w:w="1608" w:type="dxa"/>
            <w:vAlign w:val="center"/>
          </w:tcPr>
          <w:p w:rsidR="001F1E3E" w:rsidRDefault="001F1E3E" w:rsidP="001F1E3E">
            <w:pPr>
              <w:spacing w:after="0"/>
              <w:jc w:val="center"/>
            </w:pPr>
            <w:r>
              <w:t>YELLOW</w:t>
            </w:r>
          </w:p>
          <w:p w:rsidR="001F1E3E" w:rsidRDefault="0016713D" w:rsidP="001F1E3E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53B017DE">
                  <wp:extent cx="420370" cy="4025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</w:tcPr>
          <w:p w:rsidR="00831EF4" w:rsidRDefault="00955384" w:rsidP="009B6501">
            <w:pPr>
              <w:pStyle w:val="Bullets"/>
              <w:numPr>
                <w:ilvl w:val="0"/>
                <w:numId w:val="0"/>
              </w:numPr>
            </w:pPr>
            <w:r>
              <w:t xml:space="preserve">Routine actions as listed above </w:t>
            </w:r>
            <w:r w:rsidR="00161259">
              <w:t xml:space="preserve">and </w:t>
            </w:r>
            <w:r w:rsidR="00161259" w:rsidRPr="00E51D6F">
              <w:t xml:space="preserve">liaison with </w:t>
            </w:r>
            <w:r w:rsidR="00161259">
              <w:t>clinical teams</w:t>
            </w:r>
          </w:p>
          <w:p w:rsidR="001F1E3E" w:rsidRDefault="001F1E3E" w:rsidP="00955384">
            <w:pPr>
              <w:pStyle w:val="Bullets"/>
              <w:jc w:val="left"/>
            </w:pPr>
            <w:r w:rsidRPr="00E51D6F">
              <w:t xml:space="preserve">Review areas in yellow within 30 minutes, assess </w:t>
            </w:r>
            <w:r>
              <w:t>situation and help as indicated</w:t>
            </w:r>
            <w:r w:rsidRPr="00E51D6F">
              <w:t xml:space="preserve"> </w:t>
            </w:r>
          </w:p>
          <w:p w:rsidR="00516A38" w:rsidRDefault="001F1E3E" w:rsidP="00516A38">
            <w:pPr>
              <w:pStyle w:val="Bullets"/>
            </w:pPr>
            <w:r w:rsidRPr="00E51D6F">
              <w:t xml:space="preserve">Review hourly until </w:t>
            </w:r>
            <w:r w:rsidR="00516A38">
              <w:t xml:space="preserve">ward/unit </w:t>
            </w:r>
            <w:r w:rsidRPr="00E51D6F">
              <w:t>in green</w:t>
            </w:r>
          </w:p>
          <w:p w:rsidR="00516A38" w:rsidRDefault="00A96F41" w:rsidP="00516A38">
            <w:pPr>
              <w:pStyle w:val="Bullets"/>
            </w:pPr>
            <w:r>
              <w:t>E</w:t>
            </w:r>
            <w:r w:rsidR="001F1E3E" w:rsidRPr="00C61BF8">
              <w:t>xpedite patient</w:t>
            </w:r>
            <w:r w:rsidR="001F1E3E">
              <w:t xml:space="preserve"> transfer/discharge out of ward</w:t>
            </w:r>
            <w:r>
              <w:t>/unit</w:t>
            </w:r>
          </w:p>
          <w:p w:rsidR="001F1E3E" w:rsidRPr="00C61BF8" w:rsidRDefault="00A96F41" w:rsidP="00516A38">
            <w:pPr>
              <w:pStyle w:val="Bullets"/>
            </w:pPr>
            <w:r>
              <w:t>D</w:t>
            </w:r>
            <w:r w:rsidR="001F1E3E" w:rsidRPr="00E51D6F">
              <w:t xml:space="preserve">elay </w:t>
            </w:r>
            <w:r>
              <w:t>admissions/</w:t>
            </w:r>
            <w:r w:rsidR="001F1E3E" w:rsidRPr="00E51D6F">
              <w:t xml:space="preserve">transfers into </w:t>
            </w:r>
            <w:r w:rsidR="001F1E3E">
              <w:t xml:space="preserve">ward/unit </w:t>
            </w:r>
          </w:p>
          <w:p w:rsidR="001F1E3E" w:rsidRPr="00E51D6F" w:rsidRDefault="001F1E3E" w:rsidP="001F1E3E">
            <w:pPr>
              <w:pStyle w:val="Bullets"/>
            </w:pPr>
            <w:r>
              <w:t>Facilitate r</w:t>
            </w:r>
            <w:r w:rsidRPr="00E51D6F">
              <w:t>eallocat</w:t>
            </w:r>
            <w:r>
              <w:t xml:space="preserve">ion of </w:t>
            </w:r>
            <w:r w:rsidR="00A96F41">
              <w:t xml:space="preserve"> staff to areas in</w:t>
            </w:r>
            <w:r w:rsidRPr="00E51D6F">
              <w:t xml:space="preserve"> yellow</w:t>
            </w:r>
          </w:p>
          <w:p w:rsidR="001F1E3E" w:rsidRDefault="001F1E3E" w:rsidP="001F1E3E">
            <w:pPr>
              <w:pStyle w:val="Bullets"/>
            </w:pPr>
            <w:r w:rsidRPr="00E51D6F">
              <w:t>Approve overtime/additional staff</w:t>
            </w:r>
            <w:r>
              <w:t xml:space="preserve"> as necessary</w:t>
            </w:r>
          </w:p>
          <w:p w:rsidR="001F1E3E" w:rsidRDefault="001F1E3E" w:rsidP="00831EF4">
            <w:pPr>
              <w:pStyle w:val="Bullets"/>
            </w:pPr>
            <w:r w:rsidRPr="00E51D6F">
              <w:t>Consider notifying senior manager on call</w:t>
            </w:r>
          </w:p>
        </w:tc>
      </w:tr>
      <w:tr w:rsidR="001F1E3E" w:rsidTr="000F7A42">
        <w:tc>
          <w:tcPr>
            <w:tcW w:w="1608" w:type="dxa"/>
            <w:vAlign w:val="center"/>
          </w:tcPr>
          <w:p w:rsidR="001F1E3E" w:rsidRDefault="001F1E3E" w:rsidP="00A96F41">
            <w:pPr>
              <w:spacing w:after="0"/>
              <w:jc w:val="center"/>
            </w:pPr>
            <w:r>
              <w:t>ORANGE</w:t>
            </w:r>
          </w:p>
          <w:p w:rsidR="00A96F41" w:rsidRDefault="001F1E3E" w:rsidP="00A96F41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29E0C348" wp14:editId="2EB073CE">
                  <wp:extent cx="438785" cy="43878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F1E3E" w:rsidRPr="00A96F41" w:rsidRDefault="001F1E3E" w:rsidP="00A96F41">
            <w:pPr>
              <w:jc w:val="center"/>
            </w:pPr>
          </w:p>
        </w:tc>
        <w:tc>
          <w:tcPr>
            <w:tcW w:w="7402" w:type="dxa"/>
          </w:tcPr>
          <w:p w:rsidR="001F1E3E" w:rsidRDefault="001F1E3E" w:rsidP="001F1E3E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 per yellow and:</w:t>
            </w:r>
          </w:p>
          <w:p w:rsidR="001F1E3E" w:rsidRDefault="001F1E3E" w:rsidP="001F1E3E">
            <w:pPr>
              <w:pStyle w:val="Bullets"/>
            </w:pPr>
            <w:r w:rsidRPr="00DC0A6D">
              <w:t>Review</w:t>
            </w:r>
            <w:r>
              <w:t xml:space="preserve"> ward/unit/service variance</w:t>
            </w:r>
            <w:r w:rsidRPr="00DC0A6D">
              <w:t xml:space="preserve"> </w:t>
            </w:r>
            <w:r w:rsidR="0016713D">
              <w:t>every 30 minutes</w:t>
            </w:r>
          </w:p>
          <w:p w:rsidR="001F1E3E" w:rsidRPr="00DC0A6D" w:rsidRDefault="001F1E3E" w:rsidP="001F1E3E">
            <w:pPr>
              <w:pStyle w:val="Bullets"/>
            </w:pPr>
            <w:r>
              <w:t>Approve i</w:t>
            </w:r>
            <w:r w:rsidRPr="00DC0A6D">
              <w:t>mplement</w:t>
            </w:r>
            <w:r>
              <w:t>ation of</w:t>
            </w:r>
            <w:r w:rsidRPr="00DC0A6D">
              <w:t xml:space="preserve"> essential cares guideline</w:t>
            </w:r>
          </w:p>
          <w:p w:rsidR="001F1E3E" w:rsidRDefault="001F1E3E" w:rsidP="001F1E3E">
            <w:pPr>
              <w:pStyle w:val="Bullets"/>
            </w:pPr>
            <w:r>
              <w:t>Hold patients in current areas i.e. PACU, endoscopy recovery</w:t>
            </w:r>
          </w:p>
          <w:p w:rsidR="001F1E3E" w:rsidRDefault="001F1E3E" w:rsidP="001F1E3E">
            <w:pPr>
              <w:pStyle w:val="Bullets"/>
            </w:pPr>
            <w:r>
              <w:t xml:space="preserve">Facilitate patient movement to discharge lounge </w:t>
            </w:r>
          </w:p>
          <w:p w:rsidR="00516A38" w:rsidRDefault="001F1E3E" w:rsidP="00516A38">
            <w:pPr>
              <w:pStyle w:val="Bullets"/>
            </w:pPr>
            <w:r>
              <w:t>Repatriate patients to home wards if able</w:t>
            </w:r>
          </w:p>
          <w:p w:rsidR="00516A38" w:rsidRDefault="001F1E3E" w:rsidP="00516A38">
            <w:pPr>
              <w:pStyle w:val="Bullets"/>
            </w:pPr>
            <w:r>
              <w:t>Open beds</w:t>
            </w:r>
            <w:r w:rsidR="00516A38">
              <w:t xml:space="preserve"> and i</w:t>
            </w:r>
            <w:r w:rsidRPr="009234E5">
              <w:t>ncrease staffing</w:t>
            </w:r>
          </w:p>
          <w:p w:rsidR="001F1E3E" w:rsidRDefault="001F1E3E" w:rsidP="00516A38">
            <w:pPr>
              <w:pStyle w:val="Bullets"/>
            </w:pPr>
            <w:r>
              <w:t>Share staff across wards/units if able</w:t>
            </w:r>
          </w:p>
          <w:p w:rsidR="00516A38" w:rsidRDefault="001F1E3E" w:rsidP="00516A38">
            <w:pPr>
              <w:pStyle w:val="Bullets"/>
            </w:pPr>
            <w:r>
              <w:lastRenderedPageBreak/>
              <w:t>Mobilise non-floor and ancillary staff to assist under direction of RN/RM</w:t>
            </w:r>
          </w:p>
          <w:p w:rsidR="00516A38" w:rsidRDefault="00516A38" w:rsidP="00516A38">
            <w:pPr>
              <w:pStyle w:val="Bullets"/>
            </w:pPr>
            <w:r>
              <w:t>C</w:t>
            </w:r>
            <w:r w:rsidR="001F1E3E">
              <w:t>oordinate additional</w:t>
            </w:r>
            <w:r>
              <w:t xml:space="preserve"> bed meeting to discuss management of variance</w:t>
            </w:r>
          </w:p>
          <w:p w:rsidR="001F1E3E" w:rsidRDefault="0016713D" w:rsidP="00516A38">
            <w:pPr>
              <w:pStyle w:val="Bullets"/>
            </w:pPr>
            <w:r>
              <w:t>Notify</w:t>
            </w:r>
            <w:r w:rsidR="00831EF4">
              <w:t xml:space="preserve"> e</w:t>
            </w:r>
            <w:r w:rsidR="001F1E3E">
              <w:t>xecutive team and s</w:t>
            </w:r>
            <w:r w:rsidR="001F1E3E" w:rsidRPr="00F421E1">
              <w:t>enior manager on call</w:t>
            </w:r>
          </w:p>
          <w:p w:rsidR="00831EF4" w:rsidRDefault="00831EF4" w:rsidP="00831EF4">
            <w:pPr>
              <w:pStyle w:val="Bullets"/>
            </w:pPr>
            <w:r>
              <w:t>Discuss cancellation of elective surgery/procedures, if applicable</w:t>
            </w:r>
          </w:p>
        </w:tc>
      </w:tr>
      <w:tr w:rsidR="001F1E3E" w:rsidTr="000F7A42">
        <w:tc>
          <w:tcPr>
            <w:tcW w:w="1608" w:type="dxa"/>
            <w:vAlign w:val="center"/>
          </w:tcPr>
          <w:p w:rsidR="001F1E3E" w:rsidRDefault="001F1E3E" w:rsidP="001F1E3E">
            <w:pPr>
              <w:spacing w:after="0"/>
              <w:jc w:val="center"/>
            </w:pPr>
            <w:r>
              <w:lastRenderedPageBreak/>
              <w:t>RED</w:t>
            </w:r>
          </w:p>
          <w:p w:rsidR="001F1E3E" w:rsidRDefault="001F1E3E" w:rsidP="001F1E3E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3745C71E" wp14:editId="0AF48E76">
                  <wp:extent cx="438785" cy="43878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</w:tcPr>
          <w:p w:rsidR="001F1E3E" w:rsidRDefault="00831EF4" w:rsidP="001F1E3E">
            <w:r>
              <w:t>As per orange</w:t>
            </w:r>
            <w:r w:rsidR="001F1E3E">
              <w:t xml:space="preserve"> and:</w:t>
            </w:r>
          </w:p>
          <w:p w:rsidR="001F1E3E" w:rsidRDefault="001F1E3E" w:rsidP="001F1E3E">
            <w:pPr>
              <w:pStyle w:val="Bullets"/>
            </w:pPr>
            <w:r>
              <w:t>Invoke major incident plan per ward/unit/ service/ hospital, depending on variance impact</w:t>
            </w:r>
          </w:p>
          <w:p w:rsidR="001F1E3E" w:rsidRDefault="001F1E3E" w:rsidP="001F1E3E">
            <w:pPr>
              <w:pStyle w:val="Bullets"/>
            </w:pPr>
            <w:r>
              <w:t>Establish emergency operations coordination (EOC) as necessary</w:t>
            </w:r>
          </w:p>
        </w:tc>
      </w:tr>
    </w:tbl>
    <w:p w:rsidR="00955384" w:rsidRDefault="00955384" w:rsidP="0087094B">
      <w:pPr>
        <w:pStyle w:val="Heading2"/>
      </w:pPr>
    </w:p>
    <w:p w:rsidR="0087094B" w:rsidRDefault="0087094B" w:rsidP="0087094B">
      <w:pPr>
        <w:pStyle w:val="Heading2"/>
      </w:pPr>
      <w:r>
        <w:t>Executive team procedure</w:t>
      </w:r>
    </w:p>
    <w:p w:rsidR="00516069" w:rsidRDefault="00516069" w:rsidP="00516069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The Executive team may include, Directors of Nursin</w:t>
      </w:r>
      <w:r w:rsidR="0016713D">
        <w:rPr>
          <w:rFonts w:asciiTheme="minorHAnsi" w:hAnsiTheme="minorHAnsi"/>
        </w:rPr>
        <w:t>g and Allied H</w:t>
      </w:r>
      <w:r w:rsidR="00161259">
        <w:rPr>
          <w:rFonts w:asciiTheme="minorHAnsi" w:hAnsiTheme="minorHAnsi"/>
        </w:rPr>
        <w:t>ealth, the Chief Operating Officer (or equivalent), Chief E</w:t>
      </w:r>
      <w:r>
        <w:rPr>
          <w:rFonts w:asciiTheme="minorHAnsi" w:hAnsiTheme="minorHAnsi"/>
        </w:rPr>
        <w:t>xecutive, and other senior managers.</w:t>
      </w:r>
    </w:p>
    <w:p w:rsidR="00516A38" w:rsidRDefault="00516A38" w:rsidP="00516A38">
      <w:pPr>
        <w:rPr>
          <w:rFonts w:asciiTheme="minorHAnsi" w:hAnsiTheme="minorHAnsi"/>
        </w:rPr>
      </w:pPr>
      <w:r>
        <w:rPr>
          <w:rFonts w:asciiTheme="minorHAnsi" w:hAnsiTheme="minorHAnsi"/>
        </w:rPr>
        <w:t>They routinely complete the following and have specific additional actions for each wards/units traffic light status</w:t>
      </w:r>
      <w:r w:rsidR="00161259">
        <w:rPr>
          <w:rFonts w:asciiTheme="minorHAnsi" w:hAnsiTheme="minorHAnsi"/>
        </w:rPr>
        <w:t xml:space="preserve"> (see table 3</w:t>
      </w:r>
      <w:r>
        <w:rPr>
          <w:rFonts w:asciiTheme="minorHAnsi" w:hAnsiTheme="minorHAnsi"/>
        </w:rPr>
        <w:t>).</w:t>
      </w:r>
    </w:p>
    <w:p w:rsidR="00516A38" w:rsidRPr="00516A38" w:rsidRDefault="00161259" w:rsidP="00516A38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Ensure there are systems and</w:t>
      </w:r>
      <w:r w:rsidR="00516A38" w:rsidRPr="00516A38">
        <w:rPr>
          <w:rFonts w:asciiTheme="minorHAnsi" w:hAnsiTheme="minorHAnsi"/>
        </w:rPr>
        <w:t xml:space="preserve"> process</w:t>
      </w:r>
      <w:r w:rsidR="0016713D">
        <w:rPr>
          <w:rFonts w:asciiTheme="minorHAnsi" w:hAnsiTheme="minorHAnsi"/>
        </w:rPr>
        <w:t>es</w:t>
      </w:r>
      <w:r w:rsidR="00516A38" w:rsidRPr="00516A38">
        <w:rPr>
          <w:rFonts w:asciiTheme="minorHAnsi" w:hAnsiTheme="minorHAnsi"/>
        </w:rPr>
        <w:t xml:space="preserve"> in place </w:t>
      </w:r>
      <w:r w:rsidR="00516A38">
        <w:rPr>
          <w:rFonts w:asciiTheme="minorHAnsi" w:hAnsiTheme="minorHAnsi"/>
        </w:rPr>
        <w:t>for effective</w:t>
      </w:r>
      <w:r w:rsidR="00516A38" w:rsidRPr="00516A38">
        <w:rPr>
          <w:rFonts w:asciiTheme="minorHAnsi" w:hAnsiTheme="minorHAnsi"/>
        </w:rPr>
        <w:t xml:space="preserve"> care capacity demand management</w:t>
      </w:r>
    </w:p>
    <w:p w:rsidR="00516A38" w:rsidRPr="00516A38" w:rsidRDefault="00161259" w:rsidP="00516A38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Monitor</w:t>
      </w:r>
      <w:r w:rsidR="00516A38" w:rsidRPr="00516A38">
        <w:rPr>
          <w:rFonts w:asciiTheme="minorHAnsi" w:hAnsiTheme="minorHAnsi"/>
        </w:rPr>
        <w:t xml:space="preserve"> the core data set</w:t>
      </w:r>
    </w:p>
    <w:p w:rsidR="00516A38" w:rsidRPr="00516A38" w:rsidRDefault="00516A38" w:rsidP="00516A38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516A38">
        <w:rPr>
          <w:rFonts w:asciiTheme="minorHAnsi" w:hAnsiTheme="minorHAnsi"/>
        </w:rPr>
        <w:t xml:space="preserve">Routine liaison with senior managers/teams </w:t>
      </w:r>
    </w:p>
    <w:p w:rsidR="00516A38" w:rsidRPr="00516A38" w:rsidRDefault="00516A38" w:rsidP="00516A38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516A38">
        <w:rPr>
          <w:rFonts w:asciiTheme="minorHAnsi" w:hAnsiTheme="minorHAnsi"/>
        </w:rPr>
        <w:t>Periodically attend daily care capacity meetings</w:t>
      </w:r>
    </w:p>
    <w:p w:rsidR="00161259" w:rsidRDefault="00161259" w:rsidP="00161259">
      <w:pPr>
        <w:pStyle w:val="ItemHeading"/>
      </w:pPr>
      <w:r>
        <w:t xml:space="preserve">Table </w:t>
      </w:r>
      <w:r w:rsidR="00EF6819">
        <w:fldChar w:fldCharType="begin"/>
      </w:r>
      <w:r w:rsidR="00EF6819">
        <w:instrText xml:space="preserve"> SEQ Table \* ARABIC </w:instrText>
      </w:r>
      <w:r w:rsidR="00EF6819">
        <w:fldChar w:fldCharType="separate"/>
      </w:r>
      <w:r>
        <w:rPr>
          <w:noProof/>
        </w:rPr>
        <w:t>3</w:t>
      </w:r>
      <w:r w:rsidR="00EF6819">
        <w:rPr>
          <w:noProof/>
        </w:rPr>
        <w:fldChar w:fldCharType="end"/>
      </w:r>
      <w:r>
        <w:t xml:space="preserve"> – Additional actions for traffic light status</w:t>
      </w:r>
    </w:p>
    <w:tbl>
      <w:tblPr>
        <w:tblStyle w:val="TableGrid"/>
        <w:tblW w:w="0" w:type="auto"/>
        <w:tblBorders>
          <w:top w:val="single" w:sz="4" w:space="0" w:color="9B0000"/>
          <w:left w:val="single" w:sz="4" w:space="0" w:color="9B0000"/>
          <w:bottom w:val="single" w:sz="4" w:space="0" w:color="9B0000"/>
          <w:right w:val="single" w:sz="4" w:space="0" w:color="9B0000"/>
          <w:insideH w:val="single" w:sz="4" w:space="0" w:color="9B0000"/>
          <w:insideV w:val="single" w:sz="4" w:space="0" w:color="9B0000"/>
        </w:tblBorders>
        <w:tblLook w:val="04A0" w:firstRow="1" w:lastRow="0" w:firstColumn="1" w:lastColumn="0" w:noHBand="0" w:noVBand="1"/>
      </w:tblPr>
      <w:tblGrid>
        <w:gridCol w:w="1625"/>
        <w:gridCol w:w="7385"/>
      </w:tblGrid>
      <w:tr w:rsidR="00516069" w:rsidRPr="00210D95" w:rsidTr="00161259">
        <w:trPr>
          <w:tblHeader/>
        </w:trPr>
        <w:tc>
          <w:tcPr>
            <w:tcW w:w="1625" w:type="dxa"/>
            <w:shd w:val="clear" w:color="auto" w:fill="9B0000"/>
            <w:vAlign w:val="center"/>
          </w:tcPr>
          <w:p w:rsidR="00516069" w:rsidRDefault="00516069" w:rsidP="004D3173">
            <w:pPr>
              <w:rPr>
                <w:noProof/>
                <w:lang w:val="en-NZ" w:eastAsia="en-NZ"/>
              </w:rPr>
            </w:pPr>
            <w:r>
              <w:rPr>
                <w:noProof/>
                <w:lang w:val="en-NZ" w:eastAsia="en-NZ"/>
              </w:rPr>
              <w:t>Traffic light</w:t>
            </w:r>
          </w:p>
        </w:tc>
        <w:tc>
          <w:tcPr>
            <w:tcW w:w="7385" w:type="dxa"/>
            <w:shd w:val="clear" w:color="auto" w:fill="9B0000"/>
          </w:tcPr>
          <w:p w:rsidR="00516069" w:rsidRPr="00210D95" w:rsidRDefault="00516069" w:rsidP="004D3173">
            <w:r>
              <w:t>Actions</w:t>
            </w:r>
          </w:p>
        </w:tc>
      </w:tr>
      <w:tr w:rsidR="00516069" w:rsidTr="00161259">
        <w:tc>
          <w:tcPr>
            <w:tcW w:w="1625" w:type="dxa"/>
            <w:vAlign w:val="center"/>
          </w:tcPr>
          <w:p w:rsidR="00516069" w:rsidRDefault="00516069" w:rsidP="004D3173">
            <w:pPr>
              <w:spacing w:after="0"/>
              <w:jc w:val="center"/>
            </w:pPr>
            <w:r>
              <w:t>YELLOW</w:t>
            </w:r>
          </w:p>
          <w:p w:rsidR="00516069" w:rsidRDefault="0016713D" w:rsidP="004D3173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66CDFA7C">
                  <wp:extent cx="420370" cy="4025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5" w:type="dxa"/>
          </w:tcPr>
          <w:p w:rsidR="0087094B" w:rsidRPr="00C61BF8" w:rsidRDefault="00955384" w:rsidP="00955384">
            <w:pPr>
              <w:pStyle w:val="Bullets"/>
              <w:numPr>
                <w:ilvl w:val="0"/>
                <w:numId w:val="0"/>
              </w:numPr>
            </w:pPr>
            <w:r>
              <w:t xml:space="preserve">Routine actions as listed above </w:t>
            </w:r>
            <w:r w:rsidR="0087094B">
              <w:t>and:</w:t>
            </w:r>
          </w:p>
          <w:p w:rsidR="00516069" w:rsidRDefault="00516A38" w:rsidP="0087094B">
            <w:pPr>
              <w:pStyle w:val="Bullets"/>
            </w:pPr>
            <w:r>
              <w:t>Note</w:t>
            </w:r>
            <w:r w:rsidR="0087094B">
              <w:t xml:space="preserve"> communication of variance</w:t>
            </w:r>
            <w:r w:rsidR="00161259">
              <w:t xml:space="preserve"> and monitor</w:t>
            </w:r>
          </w:p>
        </w:tc>
      </w:tr>
      <w:tr w:rsidR="00516069" w:rsidTr="00161259">
        <w:tc>
          <w:tcPr>
            <w:tcW w:w="1625" w:type="dxa"/>
            <w:vAlign w:val="center"/>
          </w:tcPr>
          <w:p w:rsidR="00516069" w:rsidRDefault="00516069" w:rsidP="004D3173">
            <w:pPr>
              <w:spacing w:after="0"/>
              <w:jc w:val="center"/>
            </w:pPr>
            <w:r>
              <w:t>ORANGE</w:t>
            </w:r>
          </w:p>
          <w:p w:rsidR="00516069" w:rsidRDefault="00516069" w:rsidP="004D3173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20432143" wp14:editId="4A5FCAED">
                  <wp:extent cx="438785" cy="43878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5" w:type="dxa"/>
          </w:tcPr>
          <w:p w:rsidR="0087094B" w:rsidRDefault="0087094B" w:rsidP="0087094B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 per yellow and:</w:t>
            </w:r>
          </w:p>
          <w:p w:rsidR="0087094B" w:rsidRDefault="0087094B" w:rsidP="0087094B">
            <w:pPr>
              <w:pStyle w:val="Bullets"/>
            </w:pPr>
            <w:r>
              <w:t>Support service/directorate to implement variance response</w:t>
            </w:r>
          </w:p>
          <w:p w:rsidR="00516069" w:rsidRDefault="0087094B" w:rsidP="0087094B">
            <w:pPr>
              <w:pStyle w:val="Bullets"/>
            </w:pPr>
            <w:r>
              <w:t>Senior manager on call attend additional bed meeting and facilitate decision making to relieve pressure</w:t>
            </w:r>
          </w:p>
        </w:tc>
      </w:tr>
      <w:tr w:rsidR="00516069" w:rsidTr="00161259">
        <w:tc>
          <w:tcPr>
            <w:tcW w:w="1625" w:type="dxa"/>
            <w:vAlign w:val="center"/>
          </w:tcPr>
          <w:p w:rsidR="00516069" w:rsidRDefault="00516069" w:rsidP="004D3173">
            <w:pPr>
              <w:spacing w:after="0"/>
              <w:jc w:val="center"/>
            </w:pPr>
            <w:r>
              <w:t>RED</w:t>
            </w:r>
          </w:p>
          <w:p w:rsidR="00516069" w:rsidRDefault="00516069" w:rsidP="004D3173">
            <w:pPr>
              <w:spacing w:after="0"/>
              <w:jc w:val="center"/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57F8B9CB" wp14:editId="7BFC7676">
                  <wp:extent cx="438785" cy="43878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5" w:type="dxa"/>
          </w:tcPr>
          <w:p w:rsidR="0087094B" w:rsidRDefault="0087094B" w:rsidP="0087094B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 per orange and:</w:t>
            </w:r>
          </w:p>
          <w:p w:rsidR="0087094B" w:rsidRDefault="0087094B" w:rsidP="0087094B">
            <w:pPr>
              <w:pStyle w:val="Bullets"/>
            </w:pPr>
            <w:r>
              <w:t>Executive team attend additional bed meeting to facilitate decision making to relieve pressure</w:t>
            </w:r>
          </w:p>
          <w:p w:rsidR="00516069" w:rsidRDefault="0087094B" w:rsidP="0087094B">
            <w:pPr>
              <w:pStyle w:val="Bullets"/>
            </w:pPr>
            <w:r>
              <w:t>Lead and/or contribute to</w:t>
            </w:r>
            <w:r w:rsidRPr="00F421E1">
              <w:t xml:space="preserve"> emergency operations coordination (EOC)</w:t>
            </w:r>
            <w:r>
              <w:t xml:space="preserve"> as necessary</w:t>
            </w:r>
          </w:p>
        </w:tc>
      </w:tr>
    </w:tbl>
    <w:p w:rsidR="00516069" w:rsidRDefault="00516069"/>
    <w:sectPr w:rsidR="00516069" w:rsidSect="00AB67D2">
      <w:pgSz w:w="11900" w:h="16840"/>
      <w:pgMar w:top="1135" w:right="1440" w:bottom="993" w:left="1440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D8B" w:rsidRDefault="006F3D8B" w:rsidP="00D318E2">
      <w:r>
        <w:separator/>
      </w:r>
    </w:p>
  </w:endnote>
  <w:endnote w:type="continuationSeparator" w:id="0">
    <w:p w:rsidR="006F3D8B" w:rsidRDefault="006F3D8B" w:rsidP="00D3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BD" w:rsidRDefault="00BA647E" w:rsidP="004E6ABD">
    <w:pPr>
      <w:pStyle w:val="FooterText"/>
    </w:pPr>
    <w:r>
      <w:rPr>
        <w:noProof/>
        <w:lang w:val="en-NZ" w:eastAsia="en-NZ"/>
      </w:rPr>
      <w:drawing>
        <wp:anchor distT="0" distB="0" distL="114300" distR="114300" simplePos="0" relativeHeight="251661312" behindDoc="1" locked="0" layoutInCell="1" allowOverlap="1" wp14:anchorId="2333EA5E" wp14:editId="37552590">
          <wp:simplePos x="0" y="0"/>
          <wp:positionH relativeFrom="page">
            <wp:posOffset>255905</wp:posOffset>
          </wp:positionH>
          <wp:positionV relativeFrom="page">
            <wp:posOffset>10001682</wp:posOffset>
          </wp:positionV>
          <wp:extent cx="7127875" cy="35941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78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FILENAME \* MERGEFORMAT ">
      <w:r w:rsidR="00EF6819">
        <w:rPr>
          <w:noProof/>
        </w:rPr>
        <w:t>7.17 Variance indicators standard operating procedure_25Jun2018</w:t>
      </w:r>
    </w:fldSimple>
    <w:sdt>
      <w:sdtPr>
        <w:id w:val="1462682752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A96F41">
              <w:tab/>
            </w:r>
            <w:r w:rsidR="00A96F41">
              <w:tab/>
            </w:r>
            <w:r w:rsidR="00A96F41">
              <w:tab/>
            </w:r>
            <w:r w:rsidR="00A96F41">
              <w:tab/>
            </w:r>
            <w:r w:rsidR="004E6ABD">
              <w:t xml:space="preserve">Page </w:t>
            </w:r>
            <w:r w:rsidR="004E6ABD">
              <w:rPr>
                <w:bCs/>
                <w:sz w:val="24"/>
                <w:szCs w:val="24"/>
              </w:rPr>
              <w:fldChar w:fldCharType="begin"/>
            </w:r>
            <w:r w:rsidR="004E6ABD">
              <w:rPr>
                <w:bCs/>
              </w:rPr>
              <w:instrText xml:space="preserve"> PAGE </w:instrText>
            </w:r>
            <w:r w:rsidR="004E6ABD">
              <w:rPr>
                <w:bCs/>
                <w:sz w:val="24"/>
                <w:szCs w:val="24"/>
              </w:rPr>
              <w:fldChar w:fldCharType="separate"/>
            </w:r>
            <w:r w:rsidR="00EF6819">
              <w:rPr>
                <w:bCs/>
                <w:noProof/>
              </w:rPr>
              <w:t>4</w:t>
            </w:r>
            <w:r w:rsidR="004E6ABD">
              <w:rPr>
                <w:bCs/>
                <w:sz w:val="24"/>
                <w:szCs w:val="24"/>
              </w:rPr>
              <w:fldChar w:fldCharType="end"/>
            </w:r>
            <w:r w:rsidR="004E6ABD">
              <w:t xml:space="preserve"> of </w:t>
            </w:r>
            <w:r w:rsidR="004E6ABD">
              <w:rPr>
                <w:bCs/>
                <w:sz w:val="24"/>
                <w:szCs w:val="24"/>
              </w:rPr>
              <w:fldChar w:fldCharType="begin"/>
            </w:r>
            <w:r w:rsidR="004E6ABD">
              <w:rPr>
                <w:bCs/>
              </w:rPr>
              <w:instrText xml:space="preserve"> NUMPAGES  </w:instrText>
            </w:r>
            <w:r w:rsidR="004E6ABD">
              <w:rPr>
                <w:bCs/>
                <w:sz w:val="24"/>
                <w:szCs w:val="24"/>
              </w:rPr>
              <w:fldChar w:fldCharType="separate"/>
            </w:r>
            <w:r w:rsidR="00EF6819">
              <w:rPr>
                <w:bCs/>
                <w:noProof/>
              </w:rPr>
              <w:t>4</w:t>
            </w:r>
            <w:r w:rsidR="004E6ABD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E6ABD" w:rsidRPr="00BA647E" w:rsidRDefault="00BA647E" w:rsidP="00BA647E">
    <w:pPr>
      <w:pStyle w:val="Footer"/>
      <w:spacing w:before="120"/>
      <w:rPr>
        <w:sz w:val="20"/>
      </w:rPr>
    </w:pPr>
    <w:r w:rsidRPr="00BA647E">
      <w:rPr>
        <w:sz w:val="20"/>
      </w:rPr>
      <w:t>© Ministry of Health, NZ</w:t>
    </w:r>
    <w:r w:rsidR="00EF6819">
      <w:rPr>
        <w:sz w:val="20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D8B" w:rsidRDefault="006F3D8B" w:rsidP="00D318E2">
      <w:r>
        <w:separator/>
      </w:r>
    </w:p>
  </w:footnote>
  <w:footnote w:type="continuationSeparator" w:id="0">
    <w:p w:rsidR="006F3D8B" w:rsidRDefault="006F3D8B" w:rsidP="00D31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BD" w:rsidRPr="004E6ABD" w:rsidRDefault="00BA647E" w:rsidP="00955384">
    <w:pPr>
      <w:pStyle w:val="HeaderText"/>
      <w:jc w:val="left"/>
    </w:pPr>
    <w:r>
      <w:t>CCDM Programme</w:t>
    </w:r>
    <w:r w:rsidR="005B7D5B">
      <w:tab/>
    </w:r>
    <w:r w:rsidR="005B7D5B">
      <w:tab/>
    </w:r>
    <w:r w:rsidR="00D7644B">
      <w:tab/>
    </w:r>
    <w:r w:rsidR="00C314EB">
      <w:tab/>
    </w:r>
    <w:r w:rsidR="006F3D8B">
      <w:tab/>
    </w:r>
    <w:r w:rsidR="006F3D8B">
      <w:tab/>
    </w:r>
    <w:r w:rsidR="00955384">
      <w:t xml:space="preserve">            </w:t>
    </w:r>
    <w:r w:rsidR="006F3D8B">
      <w:t>Variance response m</w:t>
    </w:r>
    <w:r w:rsidR="00D7644B">
      <w:t>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7069"/>
    <w:multiLevelType w:val="hybridMultilevel"/>
    <w:tmpl w:val="6B3676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43C7C"/>
    <w:multiLevelType w:val="hybridMultilevel"/>
    <w:tmpl w:val="C0E004D6"/>
    <w:lvl w:ilvl="0" w:tplc="F4808632">
      <w:numFmt w:val="bullet"/>
      <w:lvlText w:val="-"/>
      <w:lvlJc w:val="left"/>
      <w:pPr>
        <w:ind w:left="360" w:hanging="360"/>
      </w:pPr>
      <w:rPr>
        <w:rFonts w:ascii="Calibri" w:eastAsia="Calibri" w:hAnsi="Calibr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FC42A3"/>
    <w:multiLevelType w:val="hybridMultilevel"/>
    <w:tmpl w:val="7E32C96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C130A"/>
    <w:multiLevelType w:val="hybridMultilevel"/>
    <w:tmpl w:val="21F89AB8"/>
    <w:lvl w:ilvl="0" w:tplc="6CF20B54">
      <w:start w:val="1"/>
      <w:numFmt w:val="bullet"/>
      <w:pStyle w:val="Bullet2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3030DA"/>
    <w:multiLevelType w:val="hybridMultilevel"/>
    <w:tmpl w:val="A22608A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1554DC"/>
    <w:multiLevelType w:val="hybridMultilevel"/>
    <w:tmpl w:val="8F0E76C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A5473"/>
    <w:multiLevelType w:val="hybridMultilevel"/>
    <w:tmpl w:val="91D05ED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D7124B"/>
    <w:multiLevelType w:val="hybridMultilevel"/>
    <w:tmpl w:val="FD14AA6A"/>
    <w:lvl w:ilvl="0" w:tplc="52F88392">
      <w:numFmt w:val="bullet"/>
      <w:lvlText w:val="-"/>
      <w:lvlJc w:val="left"/>
      <w:pPr>
        <w:ind w:left="360" w:hanging="360"/>
      </w:pPr>
      <w:rPr>
        <w:rFonts w:ascii="Calibri" w:eastAsia="Calibri" w:hAnsi="Calibr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9B0EA5"/>
    <w:multiLevelType w:val="hybridMultilevel"/>
    <w:tmpl w:val="468013C2"/>
    <w:lvl w:ilvl="0" w:tplc="5B66F63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9F6E51"/>
    <w:multiLevelType w:val="hybridMultilevel"/>
    <w:tmpl w:val="E0BC0F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F1B41"/>
    <w:multiLevelType w:val="hybridMultilevel"/>
    <w:tmpl w:val="67ACA06E"/>
    <w:lvl w:ilvl="0" w:tplc="053AE7BA">
      <w:start w:val="1"/>
      <w:numFmt w:val="decimal"/>
      <w:pStyle w:val="Numbering"/>
      <w:lvlText w:val="%1."/>
      <w:lvlJc w:val="left"/>
      <w:pPr>
        <w:ind w:left="720" w:hanging="360"/>
      </w:pPr>
      <w:rPr>
        <w:rFonts w:ascii="Segoe UI" w:hAnsi="Segoe UI" w:cs="Segoe U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64618"/>
    <w:multiLevelType w:val="hybridMultilevel"/>
    <w:tmpl w:val="A22608A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687C1F"/>
    <w:multiLevelType w:val="hybridMultilevel"/>
    <w:tmpl w:val="D79ABC84"/>
    <w:lvl w:ilvl="0" w:tplc="87E4A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C0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E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2B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A0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A8C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2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83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0EC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E0C68"/>
    <w:multiLevelType w:val="hybridMultilevel"/>
    <w:tmpl w:val="46C0B66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2366F5"/>
    <w:multiLevelType w:val="hybridMultilevel"/>
    <w:tmpl w:val="1346AFE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0759DF"/>
    <w:multiLevelType w:val="hybridMultilevel"/>
    <w:tmpl w:val="03EA70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0E58CC"/>
    <w:multiLevelType w:val="hybridMultilevel"/>
    <w:tmpl w:val="AF6C6BF2"/>
    <w:lvl w:ilvl="0" w:tplc="A822CDA4">
      <w:numFmt w:val="bullet"/>
      <w:lvlText w:val="-"/>
      <w:lvlJc w:val="left"/>
      <w:pPr>
        <w:ind w:left="360" w:hanging="360"/>
      </w:pPr>
      <w:rPr>
        <w:rFonts w:ascii="Calibri" w:eastAsia="Calibri" w:hAnsi="Calibr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B68CD"/>
    <w:multiLevelType w:val="hybridMultilevel"/>
    <w:tmpl w:val="12B29D44"/>
    <w:lvl w:ilvl="0" w:tplc="B802CEA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A64542"/>
    <w:multiLevelType w:val="hybridMultilevel"/>
    <w:tmpl w:val="64127EDE"/>
    <w:lvl w:ilvl="0" w:tplc="13D2C44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2"/>
  </w:num>
  <w:num w:numId="4">
    <w:abstractNumId w:val="10"/>
  </w:num>
  <w:num w:numId="5">
    <w:abstractNumId w:val="17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1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6"/>
  </w:num>
  <w:num w:numId="16">
    <w:abstractNumId w:val="5"/>
  </w:num>
  <w:num w:numId="17">
    <w:abstractNumId w:val="15"/>
  </w:num>
  <w:num w:numId="18">
    <w:abstractNumId w:val="13"/>
  </w:num>
  <w:num w:numId="19">
    <w:abstractNumId w:val="2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8B"/>
    <w:rsid w:val="00033D18"/>
    <w:rsid w:val="000F7A42"/>
    <w:rsid w:val="00161259"/>
    <w:rsid w:val="0016713D"/>
    <w:rsid w:val="001E1F89"/>
    <w:rsid w:val="001F1E3E"/>
    <w:rsid w:val="00206B49"/>
    <w:rsid w:val="002A4BA0"/>
    <w:rsid w:val="002B47C1"/>
    <w:rsid w:val="004E6ABD"/>
    <w:rsid w:val="004F77F0"/>
    <w:rsid w:val="00501245"/>
    <w:rsid w:val="00512618"/>
    <w:rsid w:val="00516069"/>
    <w:rsid w:val="00516A38"/>
    <w:rsid w:val="00550341"/>
    <w:rsid w:val="005824D3"/>
    <w:rsid w:val="005B7D5B"/>
    <w:rsid w:val="00683CDA"/>
    <w:rsid w:val="0069700B"/>
    <w:rsid w:val="006F3D8B"/>
    <w:rsid w:val="00727F68"/>
    <w:rsid w:val="0075192C"/>
    <w:rsid w:val="007A54D2"/>
    <w:rsid w:val="007D4966"/>
    <w:rsid w:val="00803DF8"/>
    <w:rsid w:val="00831EF4"/>
    <w:rsid w:val="00832B56"/>
    <w:rsid w:val="00837FEE"/>
    <w:rsid w:val="00850990"/>
    <w:rsid w:val="0087094B"/>
    <w:rsid w:val="00893A00"/>
    <w:rsid w:val="008D69A4"/>
    <w:rsid w:val="009362E1"/>
    <w:rsid w:val="0094337F"/>
    <w:rsid w:val="00955384"/>
    <w:rsid w:val="009B6501"/>
    <w:rsid w:val="009C2BDB"/>
    <w:rsid w:val="00A00945"/>
    <w:rsid w:val="00A96F41"/>
    <w:rsid w:val="00AB67D2"/>
    <w:rsid w:val="00B255F0"/>
    <w:rsid w:val="00B3480F"/>
    <w:rsid w:val="00B363F1"/>
    <w:rsid w:val="00BA647E"/>
    <w:rsid w:val="00BC2BDB"/>
    <w:rsid w:val="00BD6A68"/>
    <w:rsid w:val="00C22B82"/>
    <w:rsid w:val="00C314EB"/>
    <w:rsid w:val="00CB057A"/>
    <w:rsid w:val="00D318E2"/>
    <w:rsid w:val="00D43949"/>
    <w:rsid w:val="00D7644B"/>
    <w:rsid w:val="00E230DC"/>
    <w:rsid w:val="00E6029E"/>
    <w:rsid w:val="00ED3B0F"/>
    <w:rsid w:val="00EF6819"/>
    <w:rsid w:val="00F24B55"/>
    <w:rsid w:val="00F405C5"/>
    <w:rsid w:val="00F76887"/>
    <w:rsid w:val="00FD339F"/>
    <w:rsid w:val="00F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EF3A043-1418-47C5-BFAE-2C5EE8A6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4EB"/>
    <w:pPr>
      <w:spacing w:after="120" w:line="276" w:lineRule="auto"/>
      <w:jc w:val="both"/>
    </w:pPr>
    <w:rPr>
      <w:rFonts w:cs="Segoe U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BDB"/>
    <w:pPr>
      <w:keepNext/>
      <w:keepLines/>
      <w:spacing w:before="240" w:line="240" w:lineRule="auto"/>
      <w:outlineLvl w:val="0"/>
    </w:pPr>
    <w:rPr>
      <w:rFonts w:eastAsiaTheme="majorEastAsia" w:cs="Calibri"/>
      <w:bCs/>
      <w:color w:val="9B000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2BDB"/>
    <w:pPr>
      <w:spacing w:before="240" w:after="60" w:line="240" w:lineRule="auto"/>
      <w:outlineLvl w:val="1"/>
    </w:pPr>
    <w:rPr>
      <w:color w:val="9B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2BDB"/>
    <w:pPr>
      <w:spacing w:before="120" w:after="60"/>
      <w:outlineLvl w:val="2"/>
    </w:pPr>
    <w:rPr>
      <w:i/>
      <w:color w:val="9B0000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0DC"/>
    <w:pPr>
      <w:ind w:left="720"/>
      <w:outlineLvl w:val="3"/>
    </w:pPr>
    <w:rPr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230DC"/>
    <w:pPr>
      <w:keepNext/>
      <w:keepLines/>
      <w:spacing w:before="200" w:after="0"/>
      <w:ind w:left="709"/>
      <w:outlineLvl w:val="4"/>
    </w:pPr>
    <w:rPr>
      <w:rFonts w:eastAsia="Times New Roman"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0DC"/>
    <w:pPr>
      <w:keepNext/>
      <w:keepLines/>
      <w:spacing w:before="200" w:after="0"/>
      <w:outlineLvl w:val="6"/>
    </w:pPr>
    <w:rPr>
      <w:rFonts w:eastAsia="Times New Roman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0DC"/>
    <w:pPr>
      <w:keepNext/>
      <w:keepLines/>
      <w:spacing w:before="200" w:after="0"/>
      <w:outlineLvl w:val="7"/>
    </w:pPr>
    <w:rPr>
      <w:rFonts w:eastAsia="Times New Roman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0DC"/>
    <w:pPr>
      <w:keepNext/>
      <w:keepLines/>
      <w:spacing w:before="200" w:after="0"/>
      <w:outlineLvl w:val="8"/>
    </w:pPr>
    <w:rPr>
      <w:rFonts w:eastAsia="Times New Roman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8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E2"/>
  </w:style>
  <w:style w:type="paragraph" w:styleId="Footer">
    <w:name w:val="footer"/>
    <w:basedOn w:val="Normal"/>
    <w:link w:val="FooterChar"/>
    <w:uiPriority w:val="99"/>
    <w:unhideWhenUsed/>
    <w:rsid w:val="00D318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E2"/>
  </w:style>
  <w:style w:type="character" w:customStyle="1" w:styleId="Heading1Char">
    <w:name w:val="Heading 1 Char"/>
    <w:basedOn w:val="DefaultParagraphFont"/>
    <w:link w:val="Heading1"/>
    <w:uiPriority w:val="9"/>
    <w:rsid w:val="00BC2BDB"/>
    <w:rPr>
      <w:rFonts w:eastAsiaTheme="majorEastAsia" w:cs="Calibri"/>
      <w:bCs/>
      <w:color w:val="9B0000"/>
      <w:sz w:val="44"/>
      <w:szCs w:val="32"/>
    </w:rPr>
  </w:style>
  <w:style w:type="paragraph" w:customStyle="1" w:styleId="Bullets">
    <w:name w:val="Bullets"/>
    <w:basedOn w:val="ListParagraph"/>
    <w:link w:val="BulletsChar"/>
    <w:qFormat/>
    <w:rsid w:val="00C314EB"/>
    <w:pPr>
      <w:numPr>
        <w:numId w:val="5"/>
      </w:numPr>
      <w:ind w:left="641" w:hanging="357"/>
    </w:pPr>
    <w:rPr>
      <w:rFonts w:asciiTheme="minorHAnsi" w:hAnsiTheme="minorHAnsi"/>
    </w:rPr>
  </w:style>
  <w:style w:type="character" w:customStyle="1" w:styleId="BulletsChar">
    <w:name w:val="Bullets Char"/>
    <w:basedOn w:val="DefaultParagraphFont"/>
    <w:link w:val="Bullets"/>
    <w:rsid w:val="00C314EB"/>
    <w:rPr>
      <w:rFonts w:asciiTheme="minorHAnsi" w:hAnsiTheme="minorHAnsi" w:cs="Segoe UI"/>
      <w:sz w:val="22"/>
      <w:szCs w:val="22"/>
    </w:rPr>
  </w:style>
  <w:style w:type="paragraph" w:styleId="ListParagraph">
    <w:name w:val="List Paragraph"/>
    <w:basedOn w:val="Normal"/>
    <w:uiPriority w:val="34"/>
    <w:rsid w:val="00E230DC"/>
    <w:pPr>
      <w:ind w:left="720"/>
      <w:contextualSpacing/>
    </w:pPr>
  </w:style>
  <w:style w:type="paragraph" w:customStyle="1" w:styleId="ItemHeading">
    <w:name w:val="Item Heading"/>
    <w:basedOn w:val="Normal"/>
    <w:qFormat/>
    <w:rsid w:val="00BC2BDB"/>
    <w:rPr>
      <w:b/>
      <w:color w:val="E32723"/>
    </w:rPr>
  </w:style>
  <w:style w:type="paragraph" w:customStyle="1" w:styleId="HeaderText">
    <w:name w:val="Header Text"/>
    <w:basedOn w:val="Normal"/>
    <w:qFormat/>
    <w:rsid w:val="004E6ABD"/>
    <w:rPr>
      <w:b/>
      <w:sz w:val="20"/>
    </w:rPr>
  </w:style>
  <w:style w:type="paragraph" w:customStyle="1" w:styleId="FooterText">
    <w:name w:val="Footer Text"/>
    <w:basedOn w:val="HeaderText"/>
    <w:qFormat/>
    <w:rsid w:val="004E6ABD"/>
    <w:pPr>
      <w:spacing w:after="0"/>
    </w:pPr>
    <w:rPr>
      <w:color w:val="FFFFFF" w:themeColor="background1"/>
    </w:rPr>
  </w:style>
  <w:style w:type="paragraph" w:customStyle="1" w:styleId="InsideTablesHeading">
    <w:name w:val="Inside Tables Heading"/>
    <w:basedOn w:val="Normal"/>
    <w:qFormat/>
    <w:rsid w:val="00E230DC"/>
    <w:pPr>
      <w:tabs>
        <w:tab w:val="left" w:pos="2160"/>
      </w:tabs>
      <w:spacing w:before="60" w:after="60"/>
      <w:ind w:left="2160" w:hanging="2160"/>
    </w:pPr>
    <w:rPr>
      <w:b/>
      <w:bCs/>
    </w:rPr>
  </w:style>
  <w:style w:type="paragraph" w:customStyle="1" w:styleId="Numbering">
    <w:name w:val="Numbering"/>
    <w:basedOn w:val="ListParagraph"/>
    <w:qFormat/>
    <w:rsid w:val="00E230DC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C2BDB"/>
    <w:rPr>
      <w:rFonts w:cs="Segoe UI"/>
      <w:color w:val="9B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2BDB"/>
    <w:rPr>
      <w:rFonts w:cs="Segoe UI"/>
      <w:i/>
      <w:color w:val="9B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30DC"/>
    <w:rPr>
      <w:rFonts w:cs="Segoe UI"/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30DC"/>
    <w:rPr>
      <w:rFonts w:eastAsia="Times New Roman" w:cs="Segoe UI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0DC"/>
    <w:rPr>
      <w:rFonts w:eastAsia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0DC"/>
    <w:rPr>
      <w:rFonts w:eastAsia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0DC"/>
    <w:rPr>
      <w:rFonts w:eastAsia="Times New Roman"/>
      <w:i/>
      <w:iCs/>
      <w:color w:val="404040"/>
    </w:rPr>
  </w:style>
  <w:style w:type="paragraph" w:styleId="Caption">
    <w:name w:val="caption"/>
    <w:basedOn w:val="Normal"/>
    <w:next w:val="Normal"/>
    <w:uiPriority w:val="35"/>
    <w:unhideWhenUsed/>
    <w:qFormat/>
    <w:rsid w:val="00E230D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9362E1"/>
    <w:pPr>
      <w:spacing w:before="720" w:after="240"/>
    </w:pPr>
    <w:rPr>
      <w:rFonts w:cs="Calibri"/>
      <w:color w:val="FFFFFF" w:themeColor="background1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9362E1"/>
    <w:rPr>
      <w:rFonts w:cs="Calibri"/>
      <w:color w:val="FFFFFF" w:themeColor="background1"/>
      <w:sz w:val="5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80F"/>
    <w:rPr>
      <w:b/>
      <w:color w:val="E32723"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3480F"/>
    <w:rPr>
      <w:rFonts w:cs="Segoe UI"/>
      <w:b/>
      <w:color w:val="E32723"/>
      <w:sz w:val="32"/>
    </w:rPr>
  </w:style>
  <w:style w:type="character" w:styleId="Strong">
    <w:name w:val="Strong"/>
    <w:basedOn w:val="DefaultParagraphFont"/>
    <w:uiPriority w:val="22"/>
    <w:qFormat/>
    <w:rsid w:val="00E230DC"/>
    <w:rPr>
      <w:b/>
      <w:bCs/>
    </w:rPr>
  </w:style>
  <w:style w:type="character" w:styleId="Emphasis">
    <w:name w:val="Emphasis"/>
    <w:uiPriority w:val="20"/>
    <w:qFormat/>
    <w:rsid w:val="00E230DC"/>
    <w:rPr>
      <w:rFonts w:ascii="Calibri" w:hAnsi="Calibri" w:cs="Segoe UI"/>
      <w:color w:val="000000"/>
      <w:spacing w:val="30"/>
    </w:rPr>
  </w:style>
  <w:style w:type="paragraph" w:styleId="NoSpacing">
    <w:name w:val="No Spacing"/>
    <w:basedOn w:val="Normal"/>
    <w:link w:val="NoSpacingChar"/>
    <w:uiPriority w:val="99"/>
    <w:qFormat/>
    <w:rsid w:val="00E230D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NoSpacingChar">
    <w:name w:val="No Spacing Char"/>
    <w:link w:val="NoSpacing"/>
    <w:uiPriority w:val="99"/>
    <w:rsid w:val="00E230DC"/>
  </w:style>
  <w:style w:type="paragraph" w:styleId="Quote">
    <w:name w:val="Quote"/>
    <w:basedOn w:val="Normal"/>
    <w:next w:val="Normal"/>
    <w:link w:val="QuoteChar"/>
    <w:uiPriority w:val="29"/>
    <w:qFormat/>
    <w:rsid w:val="00E230DC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230DC"/>
    <w:rPr>
      <w:rFonts w:cs="Segoe UI"/>
      <w:i/>
      <w:iCs/>
      <w:color w:val="000000"/>
    </w:rPr>
  </w:style>
  <w:style w:type="character" w:styleId="SubtleEmphasis">
    <w:name w:val="Subtle Emphasis"/>
    <w:basedOn w:val="DefaultParagraphFont"/>
    <w:uiPriority w:val="19"/>
    <w:qFormat/>
    <w:rsid w:val="00E230DC"/>
    <w:rPr>
      <w:rFonts w:ascii="Calibri" w:hAnsi="Calibri"/>
      <w:i/>
      <w:iCs/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30DC"/>
    <w:pPr>
      <w:spacing w:before="480" w:after="0"/>
      <w:outlineLvl w:val="9"/>
    </w:pPr>
    <w:rPr>
      <w:rFonts w:ascii="Cambria" w:eastAsia="Times New Roman" w:hAnsi="Cambria" w:cs="Times New Roman"/>
      <w:b/>
      <w:color w:val="365F91"/>
      <w:sz w:val="28"/>
      <w:szCs w:val="28"/>
    </w:rPr>
  </w:style>
  <w:style w:type="table" w:styleId="TableGrid">
    <w:name w:val="Table Grid"/>
    <w:basedOn w:val="TableNormal"/>
    <w:uiPriority w:val="39"/>
    <w:rsid w:val="00FD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FD48AA"/>
    <w:rPr>
      <w:color w:val="754E4E" w:themeColor="accent6" w:themeShade="BF"/>
    </w:rPr>
    <w:tblPr>
      <w:tblStyleRowBandSize w:val="1"/>
      <w:tblStyleColBandSize w:val="1"/>
      <w:tblBorders>
        <w:top w:val="single" w:sz="8" w:space="0" w:color="9C6A6A" w:themeColor="accent6"/>
        <w:bottom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6A6A" w:themeColor="accent6"/>
          <w:left w:val="nil"/>
          <w:bottom w:val="single" w:sz="8" w:space="0" w:color="9C6A6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DA" w:themeFill="accent6" w:themeFillTint="3F"/>
      </w:tcPr>
    </w:tblStylePr>
  </w:style>
  <w:style w:type="table" w:styleId="MediumShading1-Accent6">
    <w:name w:val="Medium Shading 1 Accent 6"/>
    <w:basedOn w:val="TableNormal"/>
    <w:uiPriority w:val="63"/>
    <w:rsid w:val="00FD48AA"/>
    <w:tblPr>
      <w:tblStyleRowBandSize w:val="1"/>
      <w:tblStyleColBandSize w:val="1"/>
      <w:tblBorders>
        <w:top w:val="single" w:sz="8" w:space="0" w:color="B48F8F" w:themeColor="accent6" w:themeTint="BF"/>
        <w:left w:val="single" w:sz="8" w:space="0" w:color="B48F8F" w:themeColor="accent6" w:themeTint="BF"/>
        <w:bottom w:val="single" w:sz="8" w:space="0" w:color="B48F8F" w:themeColor="accent6" w:themeTint="BF"/>
        <w:right w:val="single" w:sz="8" w:space="0" w:color="B48F8F" w:themeColor="accent6" w:themeTint="BF"/>
        <w:insideH w:val="single" w:sz="8" w:space="0" w:color="B48F8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F8F" w:themeColor="accent6" w:themeTint="BF"/>
          <w:left w:val="single" w:sz="8" w:space="0" w:color="B48F8F" w:themeColor="accent6" w:themeTint="BF"/>
          <w:bottom w:val="single" w:sz="8" w:space="0" w:color="B48F8F" w:themeColor="accent6" w:themeTint="BF"/>
          <w:right w:val="single" w:sz="8" w:space="0" w:color="B48F8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FD48AA"/>
    <w:tblPr>
      <w:tblStyleRowBandSize w:val="1"/>
      <w:tblStyleColBandSize w:val="1"/>
      <w:tblBorders>
        <w:top w:val="single" w:sz="8" w:space="0" w:color="9C6A6A" w:themeColor="accent6"/>
        <w:left w:val="single" w:sz="8" w:space="0" w:color="9C6A6A" w:themeColor="accent6"/>
        <w:bottom w:val="single" w:sz="8" w:space="0" w:color="9C6A6A" w:themeColor="accent6"/>
        <w:right w:val="single" w:sz="8" w:space="0" w:color="9C6A6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6A6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  <w:tblStylePr w:type="band1Horz">
      <w:tblPr/>
      <w:tcPr>
        <w:tcBorders>
          <w:top w:val="single" w:sz="8" w:space="0" w:color="9C6A6A" w:themeColor="accent6"/>
          <w:left w:val="single" w:sz="8" w:space="0" w:color="9C6A6A" w:themeColor="accent6"/>
          <w:bottom w:val="single" w:sz="8" w:space="0" w:color="9C6A6A" w:themeColor="accent6"/>
          <w:right w:val="single" w:sz="8" w:space="0" w:color="9C6A6A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A0"/>
    <w:rPr>
      <w:rFonts w:ascii="Tahoma" w:hAnsi="Tahoma" w:cs="Tahoma"/>
      <w:sz w:val="16"/>
      <w:szCs w:val="16"/>
    </w:rPr>
  </w:style>
  <w:style w:type="paragraph" w:customStyle="1" w:styleId="Bullet2">
    <w:name w:val="Bullet 2"/>
    <w:basedOn w:val="Bullets"/>
    <w:link w:val="Bullet2Char"/>
    <w:qFormat/>
    <w:rsid w:val="00C314EB"/>
    <w:pPr>
      <w:numPr>
        <w:numId w:val="6"/>
      </w:numPr>
    </w:pPr>
  </w:style>
  <w:style w:type="character" w:customStyle="1" w:styleId="Bullet2Char">
    <w:name w:val="Bullet 2 Char"/>
    <w:basedOn w:val="BulletsChar"/>
    <w:link w:val="Bullet2"/>
    <w:rsid w:val="00C314EB"/>
    <w:rPr>
      <w:rFonts w:asciiTheme="minorHAnsi" w:hAnsiTheme="minorHAns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raft%20Documents\Manual\Page%20Templates\VRM%20Associated%20Document%20TEMPLATE%20.dotx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VRM Associated Document TEMPLATE </Template>
  <TotalTime>72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DHB Shared Services</Company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Breton</dc:creator>
  <cp:lastModifiedBy>Megan Buckley</cp:lastModifiedBy>
  <cp:revision>9</cp:revision>
  <dcterms:created xsi:type="dcterms:W3CDTF">2018-06-11T22:55:00Z</dcterms:created>
  <dcterms:modified xsi:type="dcterms:W3CDTF">2018-06-25T22:46:00Z</dcterms:modified>
</cp:coreProperties>
</file>